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4"/>
        <w:pBdr/>
        <w:spacing/>
        <w:ind w:hanging="5098" w:left="5103"/>
        <w:jc w:val="right"/>
        <w:rPr/>
      </w:pPr>
      <w:r>
        <w:t xml:space="preserve">УТВЕРЖДАЮ:</w:t>
      </w:r>
      <w:r/>
    </w:p>
    <w:p>
      <w:pPr>
        <w:pStyle w:val="904"/>
        <w:pBdr/>
        <w:spacing/>
        <w:ind w:hanging="5098" w:left="5103"/>
        <w:jc w:val="right"/>
        <w:rPr/>
      </w:pPr>
      <w:r>
        <w:t xml:space="preserve">                                                                                            </w:t>
      </w:r>
      <w:r>
        <w:t xml:space="preserve">Первый заместитель главы администрации  городского округа город Шарья</w:t>
      </w:r>
      <w:r/>
    </w:p>
    <w:p>
      <w:pPr>
        <w:pStyle w:val="904"/>
        <w:pBdr/>
        <w:spacing/>
        <w:ind w:hanging="5098" w:left="5103"/>
        <w:jc w:val="right"/>
        <w:rPr/>
      </w:pPr>
      <w:r>
        <w:t xml:space="preserve">__________С.П. Зеленов</w:t>
      </w:r>
      <w:r/>
    </w:p>
    <w:p>
      <w:pPr>
        <w:pStyle w:val="820"/>
        <w:pBdr/>
        <w:spacing/>
        <w:ind/>
        <w:jc w:val="left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820"/>
        <w:pBdr/>
        <w:spacing/>
        <w:ind/>
        <w:rPr/>
      </w:pPr>
      <w:r>
        <w:rPr>
          <w:rStyle w:val="870"/>
        </w:rPr>
        <w:t xml:space="preserve">АУКЦИОННАЯ ДОКУМЕНТАЦИЯ</w:t>
      </w:r>
      <w:r/>
    </w:p>
    <w:p>
      <w:pPr>
        <w:pStyle w:val="820"/>
        <w:pBdr/>
        <w:spacing/>
        <w:ind/>
        <w:rPr>
          <w:b/>
          <w:bCs/>
        </w:rPr>
      </w:pPr>
      <w:r>
        <w:rPr>
          <w:b/>
          <w:bCs/>
        </w:rPr>
        <w:t xml:space="preserve">о проведении</w:t>
      </w:r>
      <w:r>
        <w:rPr>
          <w:b/>
          <w:bCs/>
          <w:highlight w:val="white"/>
        </w:rPr>
        <w:t xml:space="preserve"> 05 мая </w:t>
      </w:r>
      <w:r>
        <w:rPr>
          <w:b/>
          <w:bCs/>
          <w:highlight w:val="white"/>
        </w:rPr>
        <w:t xml:space="preserve">202</w:t>
      </w:r>
      <w:r>
        <w:rPr>
          <w:b/>
          <w:bCs/>
          <w:highlight w:val="white"/>
        </w:rPr>
        <w:t xml:space="preserve">5 года а</w:t>
      </w:r>
      <w:r>
        <w:rPr>
          <w:b/>
          <w:bCs/>
        </w:rPr>
        <w:t xml:space="preserve">укциона </w:t>
      </w:r>
      <w:r>
        <w:rPr>
          <w:b/>
        </w:rPr>
        <w:t xml:space="preserve">на право заключения договора на размещение нестационарного торгового объекта на территории городского округа город Шарья</w:t>
      </w:r>
      <w:r>
        <w:rPr>
          <w:b/>
          <w:bCs/>
        </w:rPr>
      </w:r>
      <w:r>
        <w:rPr>
          <w:b/>
          <w:bCs/>
        </w:rPr>
      </w:r>
    </w:p>
    <w:p>
      <w:pPr>
        <w:pStyle w:val="820"/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20"/>
        <w:pBdr/>
        <w:spacing/>
        <w:ind/>
        <w:rPr>
          <w:bCs/>
        </w:rPr>
      </w:pPr>
      <w:r>
        <w:rPr>
          <w:bCs/>
        </w:rPr>
        <w:t xml:space="preserve">Аукцион проводится:</w:t>
      </w:r>
      <w:r>
        <w:t xml:space="preserve"> </w:t>
      </w:r>
      <w:r>
        <w:rPr>
          <w:highlight w:val="none"/>
        </w:rPr>
        <w:t xml:space="preserve">05 мая 2025 </w:t>
      </w:r>
      <w:r>
        <w:rPr>
          <w:bCs/>
          <w:highlight w:val="white"/>
        </w:rPr>
        <w:t xml:space="preserve">год</w:t>
      </w:r>
      <w:r>
        <w:rPr>
          <w:bCs/>
        </w:rPr>
        <w:t xml:space="preserve">а в 10 часов 00 минут</w:t>
      </w:r>
      <w:r>
        <w:t xml:space="preserve"> </w:t>
      </w:r>
      <w:r>
        <w:rPr>
          <w:bCs/>
        </w:rPr>
        <w:t xml:space="preserve">по московскому времени по адресу: город Шарья, ул. Октябрьская, дом 21, кабинет первого заместителя главы администрации городского округа город Шарья.</w:t>
      </w:r>
      <w:r>
        <w:rPr>
          <w:bCs/>
        </w:rPr>
      </w:r>
      <w:r>
        <w:rPr>
          <w:bCs/>
        </w:rPr>
      </w:r>
    </w:p>
    <w:p>
      <w:pPr>
        <w:pStyle w:val="820"/>
        <w:pBdr/>
        <w:spacing/>
        <w:ind w:firstLine="851"/>
        <w:rPr>
          <w:rStyle w:val="870"/>
          <w:highlight w:val="yellow"/>
        </w:rPr>
      </w:pPr>
      <w:r>
        <w:rPr>
          <w:highlight w:val="yellow"/>
        </w:rPr>
      </w:r>
      <w:r>
        <w:rPr>
          <w:rStyle w:val="870"/>
          <w:highlight w:val="yellow"/>
        </w:rPr>
      </w:r>
      <w:r>
        <w:rPr>
          <w:rStyle w:val="870"/>
          <w:highlight w:val="yellow"/>
        </w:rPr>
      </w:r>
    </w:p>
    <w:p>
      <w:pPr>
        <w:pStyle w:val="820"/>
        <w:pBdr/>
        <w:spacing/>
        <w:ind w:firstLine="851"/>
        <w:rPr/>
      </w:pPr>
      <w:r>
        <w:rPr>
          <w:rStyle w:val="870"/>
        </w:rPr>
        <w:t xml:space="preserve">Статья 1. Общие сведения</w:t>
      </w:r>
      <w:r/>
    </w:p>
    <w:p>
      <w:pPr>
        <w:pStyle w:val="820"/>
        <w:pBdr/>
        <w:spacing/>
        <w:ind w:firstLine="360"/>
        <w:jc w:val="both"/>
        <w:rPr/>
      </w:pPr>
      <w:r>
        <w:t xml:space="preserve">1.1. Аукционная документация по проведению аукциона  на право заключения договора на размещение нестацио</w:t>
      </w:r>
      <w:r>
        <w:t xml:space="preserve">нарного торгового объекта на территории городского округа  город Шарья (далее – Аукцион) разработана в соответствие с Федеральным законом от 06.10.2003г. № 131-ФЗ «Об общих принципах организации местного самоуправления в Российской Федерации», Федеральным </w:t>
      </w:r>
      <w:hyperlink r:id="rId9" w:tooltip="consultantplus://offline/ref=9EF9F267199E4927BAF68FFF1049E5A3E7BDA2ACBC43F5D6CB74BA170DCFFD6027A7D985EF43C0O5cAH" w:history="1">
        <w:r>
          <w:t xml:space="preserve">законом</w:t>
        </w:r>
      </w:hyperlink>
      <w:r>
        <w:t xml:space="preserve"> от 28.12.2009г. № 381-ФЗ «Об основах государственного регулирования торговой деятельности в Российской Федерации», Федеральным </w:t>
      </w:r>
      <w:hyperlink r:id="rId10" w:tooltip="consultantplus://offline/ref=9EF9F267199E4927BAF68FFF1049E5A3E7BDA2ACBC43F5D6CB74BA170DCFFD6027A7D985EF43C0O5cAH" w:history="1">
        <w:r>
          <w:t xml:space="preserve">законом</w:t>
        </w:r>
      </w:hyperlink>
      <w:r>
        <w:t xml:space="preserve"> от 26.07.2006г. № 135-ФЗ «О защите конкуренции», </w:t>
      </w:r>
      <w:r>
        <w:rPr>
          <w:rStyle w:val="870"/>
          <w:b w:val="0"/>
        </w:rPr>
        <w:t xml:space="preserve">приказом Федеральной антимонопольной службы России  от 10.02.2010г.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</w:t>
      </w:r>
      <w:r>
        <w:rPr>
          <w:rStyle w:val="870"/>
          <w:b w:val="0"/>
        </w:rPr>
        <w:t xml:space="preserve">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>
        <w:rPr>
          <w:rStyle w:val="870"/>
          <w:b w:val="0"/>
          <w:sz w:val="20"/>
          <w:szCs w:val="20"/>
        </w:rPr>
        <w:t xml:space="preserve"> </w:t>
      </w:r>
      <w:r>
        <w:t xml:space="preserve">п</w:t>
      </w:r>
      <w:r>
        <w:rPr>
          <w:rStyle w:val="870"/>
          <w:b w:val="0"/>
          <w:bCs w:val="0"/>
        </w:rPr>
        <w:t xml:space="preserve">остановлением администрации городского округа город Шарья от 28.04.2017г. </w:t>
      </w:r>
      <w:r>
        <w:t xml:space="preserve">№ 301 «Об утверждении </w:t>
      </w:r>
      <w:r>
        <w:rPr>
          <w:rStyle w:val="870"/>
          <w:b w:val="0"/>
          <w:bCs w:val="0"/>
        </w:rPr>
        <w:t xml:space="preserve">Порядка размещения торговых нестационарных объектов на территории городского округа город Шарья»</w:t>
      </w:r>
      <w:r>
        <w:t xml:space="preserve">, </w:t>
      </w:r>
      <w:r>
        <w:rPr>
          <w:rStyle w:val="870"/>
          <w:b w:val="0"/>
          <w:bCs w:val="0"/>
        </w:rPr>
        <w:t xml:space="preserve">постановлением администрации городского округа город Шарья от </w:t>
      </w:r>
      <w:r>
        <w:t xml:space="preserve">10.05.2017г. № 333 «О порядке организации и проведении аукциона на право заключения договора на размещение нестационарного торгового объекта на территории городского округа город Шарья Костромской области».  </w:t>
      </w:r>
      <w:r/>
    </w:p>
    <w:p>
      <w:pPr>
        <w:pStyle w:val="820"/>
        <w:pBdr/>
        <w:spacing/>
        <w:ind w:firstLine="360"/>
        <w:jc w:val="both"/>
        <w:rPr/>
      </w:pPr>
      <w:r>
        <w:t xml:space="preserve">1.2. Аукцион является открытым по составу Участников и по форме подачи предложений о цене лота.</w:t>
      </w:r>
      <w:r/>
    </w:p>
    <w:p>
      <w:pPr>
        <w:pStyle w:val="820"/>
        <w:pBdr/>
        <w:spacing/>
        <w:ind w:firstLine="360"/>
        <w:jc w:val="both"/>
        <w:rPr/>
      </w:pPr>
      <w:r>
        <w:t xml:space="preserve">1.3. Организатором аукциона является администрации </w:t>
      </w:r>
      <w:r>
        <w:rPr>
          <w:rStyle w:val="870"/>
          <w:b w:val="0"/>
          <w:bCs w:val="0"/>
        </w:rPr>
        <w:t xml:space="preserve">городского округа город Шарья (далее – Организатор аукциона)</w:t>
      </w:r>
      <w:r>
        <w:t xml:space="preserve">, адрес: 157500, Костромская обл., г. Шарья, ул. Октябрьская, д.21</w:t>
      </w:r>
      <w:r/>
    </w:p>
    <w:p>
      <w:pPr>
        <w:pStyle w:val="820"/>
        <w:pBdr/>
        <w:spacing/>
        <w:ind w:firstLine="360"/>
        <w:jc w:val="both"/>
        <w:rPr/>
      </w:pPr>
      <w:r>
        <w:t xml:space="preserve">1.4. Уполномоченным органом по проведению аукциона на право заключения договора на размещение нестационарного торгового объекта, приему заявок, оформлению и выдаче договоров, ведению реестра договоров, контролю за исполнением условий договоров</w:t>
      </w:r>
      <w:r>
        <w:t xml:space="preserve"> на размещение нестационарных торговых объектов является отдел экономического развития администрации городского округа город Шарья (далее – Уполномоченный орган) расположенный по адресу: г. Шарья, ул. Ленина, 13, каб.46, контактный телефон 8(49449) 58-934.</w:t>
      </w:r>
      <w:r/>
    </w:p>
    <w:p>
      <w:pPr>
        <w:pStyle w:val="820"/>
        <w:pBdr/>
        <w:spacing/>
        <w:ind w:firstLine="360"/>
        <w:jc w:val="both"/>
        <w:rPr/>
      </w:pPr>
      <w:r>
        <w:t xml:space="preserve">1.4.  Извещение о проведении Аукциона размещается Уполномоченным органом на официальном сайте администрации городского округа город Шарья (https://sharya.kostroma.gov.ru) и в газете «Ведомости Шарьи». </w:t>
      </w:r>
      <w:r/>
    </w:p>
    <w:p>
      <w:pPr>
        <w:pStyle w:val="820"/>
        <w:pBdr/>
        <w:spacing/>
        <w:ind w:firstLine="360"/>
        <w:jc w:val="both"/>
        <w:rPr/>
      </w:pPr>
      <w:r>
        <w:t xml:space="preserve">1.5. Организатор аукциона вправе принять решение о внесении изменений в извещение о проведении Аукциона не позднее, чем за пять </w:t>
      </w:r>
      <w:r>
        <w:t xml:space="preserve">календарных дней до даты окончания подачи заявок на участие в Аукционе. В течение одного дня с даты принятия указанного решения такие изменения размещаются Уполномоченным органом на официальном сайте администрации городского округа город Шарья и в газете «</w:t>
      </w:r>
      <w:r>
        <w:t xml:space="preserve">Ведомости Шарьи». При этом срок подачи заявок должен быть продлен таким образом, чтобы с даты размещения внесенных изменений в извещение о проведении Аукциона до даты окончания подачи заявок в участие в Аукционе он составлял не менее семи календарных дней.</w:t>
      </w:r>
      <w:r/>
    </w:p>
    <w:p>
      <w:pPr>
        <w:pStyle w:val="820"/>
        <w:widowControl w:val="false"/>
        <w:pBdr/>
        <w:spacing/>
        <w:ind w:firstLine="360"/>
        <w:jc w:val="both"/>
        <w:rPr/>
      </w:pPr>
      <w:r>
        <w:t xml:space="preserve">1.6. Организатор аукциона вправе отказаться от проведения Аукц</w:t>
      </w:r>
      <w:r>
        <w:t xml:space="preserve">иона не позднее, чем за пять календарных дней до даты окончания срока подачи заявок на участие в Аукционе. Извещение об отказе от проведения Аукциона размещается Уполномоченным органом на официальном сайте Администрации и в газете «Ведомости Шарьи» в течен</w:t>
      </w:r>
      <w:r>
        <w:t xml:space="preserve">ие одного дня с даты принятия решения об отказе от проведения Аукциона. В данном случае Организатор возвращает Участникам денежные средства, внесенные в качестве задатка, в течение пяти рабочих дней с даты принятия решения об отказе от проведения Аукциона.</w:t>
      </w:r>
      <w:r/>
    </w:p>
    <w:p>
      <w:pPr>
        <w:pStyle w:val="820"/>
        <w:pBdr/>
        <w:spacing/>
        <w:ind w:firstLine="360"/>
        <w:jc w:val="both"/>
        <w:rPr/>
      </w:pPr>
      <w:r>
        <w:t xml:space="preserve">1.7. Аукционная документа</w:t>
      </w:r>
      <w:r>
        <w:t xml:space="preserve">ция предоставляется уполномоченным органом бесплатно в рабочие дни с 08 часов 00 минут до 12 часов 00 минут и с 13 часов 00 минут до 17 часов 00 минут по московскому времени со дня, следующего за днем размещения на официальном сайте извещения о проведении </w:t>
      </w:r>
      <w:r>
        <w:t xml:space="preserve">аукциона, по адресу: Шарья, улица Ленина, 13, кабинет 46, в бумажной или электронной форме (на носитель заинтересованного лица). Аукционная документация размещена и доступна для ознакомления на официальном сайте администрации городского округа город Шарья </w:t>
      </w:r>
      <w:r>
        <w:rPr>
          <w:u w:val="single"/>
        </w:rPr>
        <w:t xml:space="preserve">(https://sharya.kostroma.gov.ru)</w:t>
      </w:r>
      <w:r>
        <w:t xml:space="preserve"> и в газете «Ведомости Шарьи».</w:t>
      </w:r>
      <w:r/>
    </w:p>
    <w:p>
      <w:pPr>
        <w:pStyle w:val="820"/>
        <w:pBdr/>
        <w:spacing/>
        <w:ind w:firstLine="360"/>
        <w:jc w:val="both"/>
        <w:rPr/>
      </w:pPr>
      <w:r>
        <w:t xml:space="preserve">1.8. Любое заинте</w:t>
      </w:r>
      <w:r>
        <w:t xml:space="preserve">ресованное лицо вправе направить в письменной форме, в том числе в форме электронного документа, организатору Аукциона запрос о разъяснении положений аукционной документации. В течение двух рабочих дней с даты поступления указанного запроса организатор Аук</w:t>
      </w:r>
      <w:r>
        <w:t xml:space="preserve">циона обязан направить в письменной форме или в форме электронного документа разъяснения положений аукционной документации, если указанный запрос поступил к нему не позднее чем за три рабочих дня до даты окончания срока подачи заявок на участие в Аукционе.</w:t>
      </w:r>
      <w:r/>
    </w:p>
    <w:p>
      <w:pPr>
        <w:pStyle w:val="907"/>
        <w:pBdr/>
        <w:spacing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/>
      <w:bookmarkStart w:id="0" w:name="P197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1.9. В течение одного дня с даты направления разъяснения положений аукционной документации по запросу заинтересованного лица такое разъяснение должно быть размещено орга</w:t>
      </w:r>
      <w:r>
        <w:rPr>
          <w:rFonts w:ascii="Times New Roman" w:hAnsi="Times New Roman" w:cs="Times New Roman"/>
          <w:sz w:val="24"/>
          <w:szCs w:val="24"/>
        </w:rPr>
        <w:t xml:space="preserve">низатором Аукциона на официальном сайте администрации городского округа город Шарья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0"/>
        <w:pBdr/>
        <w:spacing/>
        <w:ind w:firstLine="851"/>
        <w:jc w:val="both"/>
        <w:rPr>
          <w:rStyle w:val="870"/>
        </w:rPr>
      </w:pPr>
      <w:r>
        <w:rPr>
          <w:rStyle w:val="870"/>
        </w:rPr>
      </w:r>
      <w:r>
        <w:rPr>
          <w:rStyle w:val="870"/>
        </w:rPr>
      </w:r>
      <w:r>
        <w:rPr>
          <w:rStyle w:val="870"/>
        </w:rPr>
      </w:r>
    </w:p>
    <w:p>
      <w:pPr>
        <w:pStyle w:val="820"/>
        <w:pBdr/>
        <w:spacing/>
        <w:ind w:firstLine="851"/>
        <w:rPr/>
      </w:pPr>
      <w:r>
        <w:rPr>
          <w:rStyle w:val="870"/>
        </w:rPr>
        <w:t xml:space="preserve">Статья 2. Требования к Участникам Аукциона</w:t>
      </w:r>
      <w:r/>
    </w:p>
    <w:p>
      <w:pPr>
        <w:pStyle w:val="820"/>
        <w:pBdr/>
        <w:spacing/>
        <w:ind w:firstLine="360"/>
        <w:jc w:val="both"/>
        <w:rPr/>
      </w:pPr>
      <w:r>
        <w:t xml:space="preserve">2.1. Участниками Аукциона могут быть любые юридические лица независимо от организационно-правовой формы, формы собственности, м</w:t>
      </w:r>
      <w:r>
        <w:t xml:space="preserve">еста нахождения и индивидуальные предприниматели (далее – Участники), претендующие на заключение договора на размещение нестационарного торгового объекта на территории городского округа город Шарья (далее – Договор) и подавшие заявку на участие в Аукционе.</w:t>
      </w:r>
      <w:r/>
    </w:p>
    <w:p>
      <w:pPr>
        <w:pStyle w:val="820"/>
        <w:pBdr/>
        <w:spacing/>
        <w:ind w:firstLine="360"/>
        <w:jc w:val="both"/>
        <w:rPr/>
      </w:pPr>
      <w:r>
        <w:t xml:space="preserve">2.2. При проведении Аукциона устанавливаются следующие требования к Участникам: </w:t>
      </w:r>
      <w:r/>
    </w:p>
    <w:p>
      <w:pPr>
        <w:pStyle w:val="820"/>
        <w:pBdr/>
        <w:spacing/>
        <w:ind w:firstLine="360"/>
        <w:jc w:val="both"/>
        <w:rPr/>
      </w:pPr>
      <w:r>
        <w:t xml:space="preserve">1) в отношении Участников не должна проводиться процедура банкротства, ликвидации и реорганизации;</w:t>
      </w:r>
      <w:r/>
    </w:p>
    <w:p>
      <w:pPr>
        <w:pStyle w:val="820"/>
        <w:pBdr/>
        <w:spacing/>
        <w:ind w:firstLine="360"/>
        <w:jc w:val="both"/>
        <w:rPr/>
      </w:pPr>
      <w:r>
        <w:t xml:space="preserve">2)  деятельность Участника не приостановлена в порядке, предусмотренном Кодексом Российской Федерации об административных правонарушениях, на день рассмотрения заявки на участие в аукционе;</w:t>
      </w:r>
      <w:r/>
    </w:p>
    <w:p>
      <w:pPr>
        <w:pStyle w:val="820"/>
        <w:pBdr/>
        <w:spacing/>
        <w:ind w:firstLine="360"/>
        <w:jc w:val="both"/>
        <w:rPr/>
      </w:pPr>
      <w:r>
        <w:t xml:space="preserve">3) Участник обязан внести задаток в сумме двадцать процентов начальной (минимальной) цены Договора.</w:t>
      </w:r>
      <w:r/>
    </w:p>
    <w:p>
      <w:pPr>
        <w:pStyle w:val="820"/>
        <w:widowControl w:val="false"/>
        <w:pBdr/>
        <w:spacing/>
        <w:ind w:firstLine="360"/>
        <w:jc w:val="both"/>
        <w:rPr/>
      </w:pPr>
      <w:r>
        <w:t xml:space="preserve">2.3. Участник не допускается Комиссией к участию в аукционе в случаях:</w:t>
      </w:r>
      <w:r/>
    </w:p>
    <w:p>
      <w:pPr>
        <w:pStyle w:val="820"/>
        <w:widowControl w:val="false"/>
        <w:pBdr/>
        <w:spacing/>
        <w:ind w:firstLine="360"/>
        <w:jc w:val="both"/>
        <w:rPr/>
      </w:pPr>
      <w:r>
        <w:t xml:space="preserve">1) непредставления документов, определенных п.4.2. настоящей аукционной документации, либо наличия в таких документах недостоверных сведений;</w:t>
      </w:r>
      <w:r/>
    </w:p>
    <w:p>
      <w:pPr>
        <w:pStyle w:val="820"/>
        <w:widowControl w:val="false"/>
        <w:pBdr/>
        <w:spacing/>
        <w:ind w:firstLine="360"/>
        <w:jc w:val="both"/>
        <w:rPr/>
      </w:pPr>
      <w:r>
        <w:t xml:space="preserve">2) несоответствия требованиям, указанным в п.3.2. настоящей аукционной документации;</w:t>
      </w:r>
      <w:r/>
    </w:p>
    <w:p>
      <w:pPr>
        <w:pStyle w:val="820"/>
        <w:widowControl w:val="false"/>
        <w:pBdr/>
        <w:spacing/>
        <w:ind w:firstLine="360"/>
        <w:jc w:val="both"/>
        <w:rPr/>
      </w:pPr>
      <w:r>
        <w:t xml:space="preserve">3) несоответствия заявки требованиям аукционной документации, в том числе наличия в таких заявках предложения о цене Договора ниже начальной (минимальной) цены Договора;</w:t>
      </w:r>
      <w:r/>
    </w:p>
    <w:p>
      <w:pPr>
        <w:pStyle w:val="820"/>
        <w:widowControl w:val="false"/>
        <w:pBdr/>
        <w:spacing/>
        <w:ind w:firstLine="360"/>
        <w:jc w:val="both"/>
        <w:rPr/>
      </w:pPr>
      <w:r>
        <w:t xml:space="preserve">5) подачи заявки после установленного в извещении о проведении Аукциона срока.</w:t>
      </w:r>
      <w:r/>
    </w:p>
    <w:p>
      <w:pPr>
        <w:pStyle w:val="820"/>
        <w:pBdr/>
        <w:spacing/>
        <w:ind w:firstLine="360"/>
        <w:jc w:val="both"/>
        <w:rPr/>
      </w:pPr>
      <w:r>
        <w:t xml:space="preserve">2.4. Отказ в допуске к участию в Аукционе по иным основаниям, кроме случаев, указанных в пункте 2.3. настоящей аукционной документации, не допускается.</w:t>
      </w:r>
      <w:r/>
    </w:p>
    <w:p>
      <w:pPr>
        <w:pStyle w:val="907"/>
        <w:pBdr/>
        <w:spacing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В случае установления факта недостоверности сведений, содержащихся в документах, представленных Участником, Комиссия обязана отстранить такого Участника от участия в Аукционе на любом этапе его проведения.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7"/>
        <w:pBdr/>
        <w:spacing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об отстранении Участника от участия в Аукционе подлежит размещению на официальном сайте администрац</w:t>
      </w:r>
      <w:r>
        <w:rPr>
          <w:rFonts w:ascii="Times New Roman" w:hAnsi="Times New Roman" w:cs="Times New Roman"/>
          <w:sz w:val="24"/>
          <w:szCs w:val="24"/>
        </w:rPr>
        <w:t xml:space="preserve">ии городского округа город Шарья в информационно-телекоммуникационной сети Интернет и в газете «Ведомости Шарьи» в срок не позднее дня, следующего за днем принятия такого решения. При этом в протоколе указываются установленные факты недостоверных сведений.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20"/>
        <w:pBdr/>
        <w:spacing/>
        <w:ind w:firstLine="851"/>
        <w:jc w:val="both"/>
        <w:rPr/>
      </w:pPr>
      <w:r/>
      <w:r/>
    </w:p>
    <w:p>
      <w:pPr>
        <w:pStyle w:val="820"/>
        <w:pBdr/>
        <w:spacing/>
        <w:ind w:firstLine="851"/>
        <w:rPr>
          <w:rStyle w:val="870"/>
        </w:rPr>
      </w:pPr>
      <w:r>
        <w:rPr>
          <w:rStyle w:val="870"/>
        </w:rPr>
        <w:t xml:space="preserve">Статья 3.  Требования к содержанию и составу заявки на участие в Аукционе</w:t>
      </w:r>
      <w:r>
        <w:rPr>
          <w:rStyle w:val="870"/>
        </w:rPr>
      </w:r>
      <w:r>
        <w:rPr>
          <w:rStyle w:val="870"/>
        </w:rPr>
      </w:r>
    </w:p>
    <w:p>
      <w:pPr>
        <w:pStyle w:val="820"/>
        <w:numPr>
          <w:ilvl w:val="0"/>
          <w:numId w:val="0"/>
        </w:numPr>
        <w:pBdr/>
        <w:spacing/>
        <w:ind w:firstLine="360" w:left="0"/>
        <w:jc w:val="both"/>
        <w:outlineLvl w:val="1"/>
        <w:rPr/>
      </w:pPr>
      <w:r>
        <w:t xml:space="preserve">3.1. Участник представляет Уполномоченному органу заявку на участие в Аукционе по   форме (Приложение № 1 к аукционной документации) не позднее даты, указанной в извещении о проведении Аукциона.</w:t>
      </w:r>
      <w:r/>
    </w:p>
    <w:p>
      <w:pPr>
        <w:pStyle w:val="820"/>
        <w:widowControl w:val="false"/>
        <w:pBdr/>
        <w:spacing/>
        <w:ind w:firstLine="360"/>
        <w:jc w:val="both"/>
        <w:rPr/>
      </w:pPr>
      <w:r>
        <w:t xml:space="preserve">3.2.</w:t>
      </w:r>
      <w:r>
        <w:rPr>
          <w:sz w:val="20"/>
          <w:szCs w:val="20"/>
        </w:rPr>
        <w:t xml:space="preserve"> </w:t>
      </w:r>
      <w:r>
        <w:t xml:space="preserve">Для участия в Аукционе Участники представ</w:t>
      </w:r>
      <w:r>
        <w:t xml:space="preserve">ляют заявку только в запечатанном конверте, на котором указывается наименование предмета Аукциона, на участие в котором подается заявка, а также наименование Участника. Номер лота (при наличии нескольких лотов). Заявка должна содержать следующие документы:</w:t>
      </w:r>
      <w:r/>
    </w:p>
    <w:p>
      <w:pPr>
        <w:pStyle w:val="820"/>
        <w:widowControl w:val="false"/>
        <w:pBdr/>
        <w:spacing/>
        <w:ind w:firstLine="360"/>
        <w:jc w:val="both"/>
        <w:rPr/>
      </w:pPr>
      <w:r>
        <w:t xml:space="preserve">1) сведения и документы об Участнике: фирменное наименование </w:t>
      </w:r>
      <w:r>
        <w:t xml:space="preserve">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индивидуального предпринимателя), номер контактного телефона;</w:t>
      </w:r>
      <w:r/>
    </w:p>
    <w:p>
      <w:pPr>
        <w:pStyle w:val="820"/>
        <w:widowControl w:val="false"/>
        <w:pBdr/>
        <w:spacing/>
        <w:ind w:firstLine="360"/>
        <w:jc w:val="both"/>
        <w:rPr/>
      </w:pPr>
      <w:r>
        <w:t xml:space="preserve">2) полученную не ранее чем за шесть месяцев до даты размещения на официальном сайте Администрации и в газете «Ведомости Шарьи» извещения о проведении аукциона выписку из Единого государственного рее</w:t>
      </w:r>
      <w:r>
        <w:t xml:space="preserve">стра юридических лиц или нотариально заверенную копию такой выписки (для юридических лиц), или выписку из Единого государственного реестра индивидуальных предпринимателей или нотариально заверенную копию такой выписки (для индивидуальных предпринимателей);</w:t>
      </w:r>
      <w:r/>
    </w:p>
    <w:p>
      <w:pPr>
        <w:pStyle w:val="820"/>
        <w:widowControl w:val="false"/>
        <w:pBdr/>
        <w:spacing/>
        <w:ind w:firstLine="360"/>
        <w:jc w:val="both"/>
        <w:rPr/>
      </w:pPr>
      <w:r>
        <w:t xml:space="preserve">3) копии учредительных документов Участника;</w:t>
      </w:r>
      <w:r/>
    </w:p>
    <w:p>
      <w:pPr>
        <w:pStyle w:val="820"/>
        <w:widowControl w:val="false"/>
        <w:pBdr/>
        <w:spacing/>
        <w:ind w:firstLine="360"/>
        <w:jc w:val="both"/>
        <w:rPr/>
      </w:pPr>
      <w:r>
        <w:t xml:space="preserve">4) документ, подтверждающий полномочия лица на осуществление </w:t>
      </w:r>
      <w:r>
        <w:t xml:space="preserve">действий от имени Участника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- руково</w:t>
      </w:r>
      <w:r>
        <w:t xml:space="preserve">дитель). В случае если от имени Участника действует иное лицо, заявка должна содержать также доверенность на осуществление действий от имени Участника, заверенная печатью Участника и подписанную руководителем Участника (для юридических лиц) или уполномочен</w:t>
      </w:r>
      <w:r>
        <w:t xml:space="preserve">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Участника, заявка должна содержать также документ, подтверждающий полномочия такого лица;</w:t>
      </w:r>
      <w:r/>
    </w:p>
    <w:p>
      <w:pPr>
        <w:pStyle w:val="820"/>
        <w:widowControl w:val="false"/>
        <w:pBdr/>
        <w:spacing/>
        <w:ind w:firstLine="360"/>
        <w:jc w:val="both"/>
        <w:rPr/>
      </w:pPr>
      <w:r>
        <w:t xml:space="preserve">5) за</w:t>
      </w:r>
      <w:r>
        <w:t xml:space="preserve">явление об отсутствии решения о ликвидации Участника, об отсутствии решения арбитражного суда о признании Участника банкротом и об открытии конкурсного производства, об отсутствии решения о приостановлении деятельности Участника в порядке, предусмотренном </w:t>
      </w:r>
      <w:hyperlink r:id="rId11" w:tooltip="consultantplus://offline/ref=9EF9F267199E4927BAF68FFF1049E5A3E7B9ABADB143F5D6CB74BA170DCFFD6027A7DD84OEcDH" w:history="1">
        <w:r>
          <w:t xml:space="preserve">Кодексом</w:t>
        </w:r>
      </w:hyperlink>
      <w:r>
        <w:t xml:space="preserve"> Российской Федерации об административных правонарушениях (Приложение № 2 к аукционной документации);</w:t>
      </w:r>
      <w:r/>
    </w:p>
    <w:p>
      <w:pPr>
        <w:pStyle w:val="820"/>
        <w:widowControl w:val="false"/>
        <w:pBdr/>
        <w:spacing/>
        <w:ind w:firstLine="360"/>
        <w:jc w:val="both"/>
        <w:rPr/>
      </w:pPr>
      <w:r>
        <w:t xml:space="preserve">6) копии документов, подтверждающие внесение задатка (платежное поручение, подтверждающее перечисление задатка), заверенные печатью Участника.</w:t>
      </w:r>
      <w:r/>
    </w:p>
    <w:p>
      <w:pPr>
        <w:pStyle w:val="820"/>
        <w:pBdr/>
        <w:spacing/>
        <w:ind w:firstLine="360"/>
        <w:jc w:val="both"/>
        <w:rPr/>
      </w:pPr>
      <w:r>
        <w:t xml:space="preserve">Уполномоченное лицо в рамках межведомственного информационного взаимодействия осуществляет получение документов (сведений), подтверждающих государственную регистрацию юридического лица либо государственную регистрацию ин</w:t>
      </w:r>
      <w:r>
        <w:t xml:space="preserve">дивидуального предпринимателя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предпринимателей, если заявитель не представил указанный документ самостоятельно.</w:t>
      </w:r>
      <w:r/>
    </w:p>
    <w:p>
      <w:pPr>
        <w:pStyle w:val="820"/>
        <w:pBdr/>
        <w:spacing/>
        <w:ind w:firstLine="360"/>
        <w:jc w:val="both"/>
        <w:rPr/>
      </w:pPr>
      <w:r>
        <w:t xml:space="preserve">3.3. Заявка на участие в Аукционе оформляется на русском языке ручным или машинописным способом.</w:t>
      </w:r>
      <w:r/>
    </w:p>
    <w:p>
      <w:pPr>
        <w:pStyle w:val="820"/>
        <w:pBdr/>
        <w:spacing/>
        <w:ind w:firstLine="360"/>
        <w:jc w:val="both"/>
        <w:rPr/>
      </w:pPr>
      <w:r>
        <w:t xml:space="preserve">3.4. Не принимаются заявки, исполненные карандашом или имеющие подчистки либо приписки, зачеркнутые слова, а также неоговоренные исправления. Текст заявки должен быть написан четко, фамилии, имена и отч</w:t>
      </w:r>
      <w:r>
        <w:t xml:space="preserve">ества физических лиц, фирменные наименования (наименования) юридических лиц должны быть написаны полностью. Все страницы документов должны быть четкими и читаемыми, в том числе представленные копии документов, включая надписи на оттисках печатей и штампов.</w:t>
      </w:r>
      <w:r/>
    </w:p>
    <w:p>
      <w:pPr>
        <w:pStyle w:val="820"/>
        <w:widowControl w:val="false"/>
        <w:pBdr/>
        <w:spacing/>
        <w:ind w:firstLine="540"/>
        <w:jc w:val="both"/>
        <w:rPr/>
      </w:pPr>
      <w:r/>
      <w:r/>
    </w:p>
    <w:p>
      <w:pPr>
        <w:pStyle w:val="820"/>
        <w:pBdr/>
        <w:spacing/>
        <w:ind w:firstLine="851"/>
        <w:rPr/>
      </w:pPr>
      <w:r>
        <w:rPr>
          <w:rStyle w:val="870"/>
        </w:rPr>
        <w:t xml:space="preserve">Статья 4. Порядок подачи заявок на участие в Аукционе</w:t>
      </w:r>
      <w:r/>
    </w:p>
    <w:p>
      <w:pPr>
        <w:pStyle w:val="820"/>
        <w:pBdr/>
        <w:spacing/>
        <w:ind w:firstLine="572"/>
        <w:jc w:val="both"/>
        <w:rPr/>
      </w:pPr>
      <w:r>
        <w:t xml:space="preserve">4.1. Заявки на участие в Аукцион</w:t>
      </w:r>
      <w:r>
        <w:t xml:space="preserve">е принимаются по месту нахождения Уполномоченного органа, начиная со дня, следующего за днем размещения извещения о проведении Аукциона и аукционной документации на официальном сайте администрации городского округа город Шарья и в газете «Ведомости Шарьи» </w:t>
      </w:r>
      <w:r>
        <w:rPr>
          <w:b/>
          <w:highlight w:val="white"/>
        </w:rPr>
        <w:t xml:space="preserve">с 25 марта 2</w:t>
      </w:r>
      <w:r>
        <w:rPr>
          <w:b/>
          <w:highlight w:val="white"/>
        </w:rPr>
        <w:t xml:space="preserve">0</w:t>
      </w:r>
      <w:r>
        <w:rPr>
          <w:b/>
          <w:highlight w:val="white"/>
        </w:rPr>
        <w:t xml:space="preserve">25 года</w:t>
      </w:r>
      <w:r>
        <w:rPr>
          <w:b/>
        </w:rPr>
        <w:t xml:space="preserve"> </w:t>
      </w:r>
      <w:r>
        <w:t xml:space="preserve">в рабочие дни с 8:00 часов до 12:00 часов и с 13:00 часов до 17:00 по московскому времени, прием заявок прекращается </w:t>
      </w:r>
      <w:r>
        <w:rPr>
          <w:b/>
          <w:highlight w:val="none"/>
        </w:rPr>
        <w:t xml:space="preserve">24 апреля 20</w:t>
      </w:r>
      <w:r>
        <w:rPr>
          <w:b/>
          <w:highlight w:val="white"/>
        </w:rPr>
        <w:t xml:space="preserve">25</w:t>
      </w:r>
      <w:r>
        <w:rPr>
          <w:highlight w:val="white"/>
        </w:rPr>
        <w:t xml:space="preserve"> го</w:t>
      </w:r>
      <w:r>
        <w:t xml:space="preserve">да в 17:00 по московскому времени.</w:t>
      </w:r>
      <w:r/>
    </w:p>
    <w:p>
      <w:pPr>
        <w:pStyle w:val="820"/>
        <w:pBdr/>
        <w:spacing/>
        <w:ind w:firstLine="572"/>
        <w:jc w:val="both"/>
        <w:rPr/>
      </w:pPr>
      <w:r>
        <w:t xml:space="preserve">Оформление заявки производится по форме, являющейся Приложением к аукционной документации. </w:t>
      </w:r>
      <w:r/>
    </w:p>
    <w:p>
      <w:pPr>
        <w:pStyle w:val="820"/>
        <w:numPr>
          <w:ilvl w:val="0"/>
          <w:numId w:val="0"/>
        </w:numPr>
        <w:pBdr/>
        <w:spacing/>
        <w:ind w:firstLine="567" w:left="0"/>
        <w:jc w:val="both"/>
        <w:outlineLvl w:val="1"/>
        <w:rPr/>
      </w:pPr>
      <w:r>
        <w:t xml:space="preserve"> </w:t>
      </w:r>
      <w:r>
        <w:t xml:space="preserve">Заявка на участие в Аукционе подается Участником лично либо его уполномоченным представителем.</w:t>
      </w:r>
      <w:r/>
    </w:p>
    <w:p>
      <w:pPr>
        <w:pStyle w:val="820"/>
        <w:numPr>
          <w:ilvl w:val="0"/>
          <w:numId w:val="0"/>
        </w:numPr>
        <w:pBdr/>
        <w:spacing/>
        <w:ind w:firstLine="567" w:left="0"/>
        <w:jc w:val="both"/>
        <w:outlineLvl w:val="1"/>
        <w:rPr/>
      </w:pPr>
      <w:r>
        <w:t xml:space="preserve"> </w:t>
      </w:r>
      <w:r>
        <w:t xml:space="preserve">4.2. Заявка регистрируется Уполномоченным органом в журнале регистрации заявок с присвоением каждой заявке номера и с указанием даты и времени подачи. </w:t>
      </w:r>
      <w:r/>
    </w:p>
    <w:p>
      <w:pPr>
        <w:pStyle w:val="820"/>
        <w:numPr>
          <w:ilvl w:val="0"/>
          <w:numId w:val="0"/>
        </w:numPr>
        <w:pBdr/>
        <w:spacing/>
        <w:ind w:firstLine="567" w:left="0"/>
        <w:jc w:val="both"/>
        <w:outlineLvl w:val="1"/>
        <w:rPr/>
      </w:pPr>
      <w:r>
        <w:t xml:space="preserve"> </w:t>
      </w:r>
      <w:r>
        <w:t xml:space="preserve">4.3. Уполномочен</w:t>
      </w:r>
      <w:r>
        <w:t xml:space="preserve">ный орган на заявке делает отметку о номере, присвоенном ей в журнале регистрации заявок, а также о дате и времени приема заявки. По требованию Участника Уполномоченный орган выдает расписку в получении такой заявки с указанием даты и времени ее получения.</w:t>
      </w:r>
      <w:r/>
    </w:p>
    <w:p>
      <w:pPr>
        <w:pStyle w:val="820"/>
        <w:widowControl w:val="false"/>
        <w:pBdr/>
        <w:spacing/>
        <w:ind w:firstLine="540"/>
        <w:jc w:val="both"/>
        <w:rPr/>
      </w:pPr>
      <w:r>
        <w:t xml:space="preserve">4.4. На один лот одним Участником может быть подана только одна заявка.</w:t>
      </w:r>
      <w:r/>
    </w:p>
    <w:p>
      <w:pPr>
        <w:pStyle w:val="820"/>
        <w:widowControl w:val="false"/>
        <w:pBdr/>
        <w:spacing/>
        <w:ind w:firstLine="540"/>
        <w:jc w:val="both"/>
        <w:rPr/>
      </w:pPr>
      <w:r>
        <w:t xml:space="preserve">4.5. Участник имеет право изменить поданную заявку до окончания срока приема заявок. Изменения в заявку оформляются в форме изменений (дополнений) в отдельные пункты заявки либо в виде новой редакции заявки.</w:t>
      </w:r>
      <w:r/>
    </w:p>
    <w:p>
      <w:pPr>
        <w:pStyle w:val="820"/>
        <w:widowControl w:val="false"/>
        <w:pBdr/>
        <w:spacing/>
        <w:ind w:firstLine="540"/>
        <w:jc w:val="both"/>
        <w:rPr/>
      </w:pPr>
      <w:r>
        <w:t xml:space="preserve">4.6. Участник вправе отозвать заявку в любое время</w:t>
      </w:r>
      <w:r>
        <w:t xml:space="preserve"> до установленных даты и времени начала рассмотрения заявок на участие в аукционе, письменно уведомив Уполномоченный орган. Организатор обязан вернуть задаток указанному Участнику в течение пяти рабочих дней с даты поступления уведомления об отзыве заявки.</w:t>
      </w:r>
      <w:r/>
    </w:p>
    <w:p>
      <w:pPr>
        <w:pStyle w:val="820"/>
        <w:widowControl w:val="false"/>
        <w:pBdr/>
        <w:spacing/>
        <w:ind w:firstLine="540"/>
        <w:jc w:val="both"/>
        <w:rPr/>
      </w:pPr>
      <w:r>
        <w:t xml:space="preserve">4.7. Заявки, полученные после окончания установленного срока приема заявок на участие в аукционе, не рассматриваются, и в тот же день возвращаются соответствующим Участникам. </w:t>
      </w:r>
      <w:r/>
    </w:p>
    <w:p>
      <w:pPr>
        <w:pStyle w:val="820"/>
        <w:widowControl w:val="true"/>
        <w:numPr>
          <w:ilvl w:val="0"/>
          <w:numId w:val="0"/>
        </w:numPr>
        <w:pBdr/>
        <w:spacing w:after="0" w:before="0"/>
        <w:ind w:right="0" w:firstLine="510" w:left="0"/>
        <w:jc w:val="both"/>
        <w:outlineLvl w:val="1"/>
        <w:rPr/>
      </w:pPr>
      <w:r>
        <w:t xml:space="preserve">4.8. В случае установления факта подачи одним Участником двух и более заявок на уча</w:t>
      </w:r>
      <w:r>
        <w:t xml:space="preserve">стие в аукционе в отношении одного и того же лота при условии, что поданные ранее заявки таким Участником не отозваны, все заявки на участие в аукционе такого Участника, поданные в отношении данного лота, не рассматриваются и возвращаются такому Участнику.</w:t>
      </w:r>
      <w:r/>
    </w:p>
    <w:p>
      <w:pPr>
        <w:pStyle w:val="820"/>
        <w:pBdr/>
        <w:spacing/>
        <w:ind w:firstLine="851"/>
        <w:rPr>
          <w:rStyle w:val="870"/>
        </w:rPr>
      </w:pPr>
      <w:r>
        <w:rPr>
          <w:rStyle w:val="870"/>
        </w:rPr>
      </w:r>
      <w:r>
        <w:rPr>
          <w:rStyle w:val="870"/>
        </w:rPr>
      </w:r>
      <w:r>
        <w:rPr>
          <w:rStyle w:val="870"/>
        </w:rPr>
      </w:r>
    </w:p>
    <w:p>
      <w:pPr>
        <w:pStyle w:val="820"/>
        <w:numPr>
          <w:ilvl w:val="0"/>
          <w:numId w:val="0"/>
        </w:numPr>
        <w:pBdr/>
        <w:spacing/>
        <w:ind w:firstLine="360" w:left="0"/>
        <w:outlineLvl w:val="1"/>
        <w:rPr/>
      </w:pPr>
      <w:r>
        <w:rPr>
          <w:rStyle w:val="870"/>
        </w:rPr>
        <w:t xml:space="preserve">Статья 5. Порядок внесения задатка</w:t>
      </w:r>
      <w:r/>
    </w:p>
    <w:p>
      <w:pPr>
        <w:pStyle w:val="820"/>
        <w:widowControl w:val="true"/>
        <w:pBdr/>
        <w:spacing w:after="0" w:before="0"/>
        <w:ind w:right="0" w:firstLine="624" w:left="0"/>
        <w:jc w:val="both"/>
        <w:rPr/>
      </w:pPr>
      <w:r>
        <w:t xml:space="preserve">5.1. В соответствии с условиями аукциона Участник обязуется перечислить денежные средства (задаток) на расчетный счет Организатора аукциона для участия в Аукционе.</w:t>
      </w:r>
      <w:r/>
    </w:p>
    <w:p>
      <w:pPr>
        <w:pStyle w:val="820"/>
        <w:widowControl w:val="true"/>
        <w:pBdr/>
        <w:spacing w:after="0" w:before="0"/>
        <w:ind w:right="0" w:firstLine="567" w:left="0"/>
        <w:jc w:val="both"/>
        <w:rPr/>
      </w:pPr>
      <w:r>
        <w:t xml:space="preserve">5.2. Задаток вносится Участником как подтверждение серьезности намерений участвовать в Аукционе и как способ исполнения обязательства заключить Договор в случае победы.</w:t>
      </w:r>
      <w:r/>
    </w:p>
    <w:p>
      <w:pPr>
        <w:pStyle w:val="920"/>
        <w:widowControl w:val="true"/>
        <w:pBdr/>
        <w:spacing w:after="0" w:before="0"/>
        <w:ind w:right="0" w:firstLine="567" w:left="0"/>
        <w:jc w:val="both"/>
        <w:rPr/>
      </w:pPr>
      <w:r>
        <w:t xml:space="preserve">5.3. Размер задатка устанавливается в размере двадцати процентов от начальной (минимальной) цены Договора. Начальная (минимальная) цена рассчитывается в соответствии с формулой, ука</w:t>
      </w:r>
      <w:r>
        <w:t xml:space="preserve">занной в статье 9 Порядка размещения нестационарных торговых объектов на территории городского округа город Шарья, утвержденного постановлением администрации городского округа город Шарья от 28 апреля 2017 года № 301. Участник перечисляет задаток, в сумме:</w:t>
      </w:r>
      <w:r/>
    </w:p>
    <w:tbl>
      <w:tblPr>
        <w:tblW w:w="4950" w:type="pct"/>
        <w:tblInd w:w="0" w:type="dxa"/>
        <w:tblBorders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35"/>
        <w:gridCol w:w="4528"/>
        <w:gridCol w:w="1405"/>
        <w:gridCol w:w="1801"/>
        <w:gridCol w:w="1683"/>
      </w:tblGrid>
      <w:tr>
        <w:trPr>
          <w:trHeight w:val="18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лота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820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8" w:type="dxa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12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12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Место размещения НТО, в соответствии со схемой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5" w:type="dxa"/>
            <w:textDirection w:val="lrTb"/>
            <w:noWrap w:val="false"/>
          </w:tcPr>
          <w:p>
            <w:pPr>
              <w:pStyle w:val="820"/>
              <w:pBdr/>
              <w:spacing/>
              <w:ind w:right="-108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20"/>
              <w:pBdr/>
              <w:spacing/>
              <w:ind w:right="-108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Тип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20"/>
              <w:pBdr/>
              <w:spacing/>
              <w:ind w:right="-108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НТО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pStyle w:val="820"/>
              <w:pBdr/>
              <w:spacing/>
              <w:ind w:right="-108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Начальная (минимальная) цена Договора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20"/>
              <w:pBdr/>
              <w:spacing/>
              <w:ind w:right="-108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в размере ежегодного платежа,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20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рублях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3" w:type="dxa"/>
            <w:textDirection w:val="lrTb"/>
            <w:noWrap w:val="false"/>
          </w:tcPr>
          <w:p>
            <w:pPr>
              <w:pStyle w:val="820"/>
              <w:pBdr/>
              <w:spacing/>
              <w:ind w:firstLine="87" w:left="-8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Сумма задатка 20% от начальной (минимальной) цены Договора, в рублях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5" w:type="dxa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8" w:type="dxa"/>
            <w:textDirection w:val="lrTb"/>
            <w:noWrap w:val="false"/>
          </w:tcPr>
          <w:p>
            <w:pPr>
              <w:pStyle w:val="820"/>
              <w:widowControl w:val="false"/>
              <w:pBdr/>
              <w:spacing/>
              <w:ind/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г. Шарья, </w:t>
            </w:r>
            <w:r>
              <w:rPr>
                <w:sz w:val="20"/>
                <w:szCs w:val="20"/>
                <w:highlight w:val="none"/>
                <w:lang w:eastAsia="ru-RU"/>
              </w:rPr>
              <w:t xml:space="preserve">перекресток ул. Парковая и ул. Алешунинская, район жилого дома №1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5" w:type="dxa"/>
            <w:textDirection w:val="lrTb"/>
            <w:noWrap w:val="false"/>
          </w:tcPr>
          <w:p>
            <w:pPr>
              <w:pStyle w:val="820"/>
              <w:pBdr/>
              <w:spacing/>
              <w: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Временный торговый павильон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01" w:type="dxa"/>
            <w:textDirection w:val="lrTb"/>
            <w:noWrap w:val="false"/>
          </w:tcPr>
          <w:p>
            <w:pPr>
              <w:pStyle w:val="820"/>
              <w:pBdr/>
              <w:spacing/>
              <w:ind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820"/>
              <w:pBdr/>
              <w:spacing/>
              <w:ind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none"/>
              </w:rPr>
              <w:t xml:space="preserve">67154,53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3" w:type="dxa"/>
            <w:textDirection w:val="lrTb"/>
            <w:noWrap w:val="false"/>
          </w:tcPr>
          <w:p>
            <w:pPr>
              <w:pStyle w:val="820"/>
              <w:pBdr/>
              <w:spacing/>
              <w:ind w:right="0" w:firstLine="0" w:left="0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820"/>
              <w:pBdr/>
              <w:spacing/>
              <w:ind w:right="0" w:firstLine="0" w:left="0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13430,91</w:t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</w:tbl>
    <w:p>
      <w:pPr>
        <w:pStyle w:val="920"/>
        <w:pBdr/>
        <w:spacing/>
        <w:ind/>
        <w:jc w:val="center"/>
        <w:rPr/>
      </w:pPr>
      <w:r/>
      <w:r/>
    </w:p>
    <w:p>
      <w:pPr>
        <w:pStyle w:val="820"/>
        <w:pBdr/>
        <w:spacing/>
        <w:ind w:firstLine="572"/>
        <w:jc w:val="both"/>
        <w:rPr/>
      </w:pPr>
      <w:r>
        <w:t xml:space="preserve">5.4. Задаток должен поступить Организатору аукциона не позднее </w:t>
      </w:r>
      <w:r>
        <w:rPr>
          <w:b/>
          <w:highlight w:val="none"/>
        </w:rPr>
        <w:t xml:space="preserve">24 апреля </w:t>
      </w:r>
      <w:r>
        <w:rPr>
          <w:b/>
          <w:highlight w:val="white"/>
        </w:rPr>
        <w:t xml:space="preserve">2025 года</w:t>
      </w:r>
      <w:r>
        <w:rPr>
          <w:highlight w:val="white"/>
        </w:rPr>
        <w:t xml:space="preserve"> н</w:t>
      </w:r>
      <w:r>
        <w:t xml:space="preserve">а следующие реквизиты:</w:t>
      </w:r>
      <w:r/>
    </w:p>
    <w:p>
      <w:pPr>
        <w:pStyle w:val="820"/>
        <w:pBdr/>
        <w:spacing/>
        <w:ind w:right="-52" w:firstLine="572"/>
        <w:jc w:val="both"/>
        <w:rPr>
          <w:b/>
        </w:rPr>
      </w:pPr>
      <w:r>
        <w:rPr>
          <w:b/>
        </w:rPr>
        <w:t xml:space="preserve">Получатель – ОТДЕЛЕНИЕ КОСТРОМА БАНК</w:t>
      </w:r>
      <w:r>
        <w:rPr>
          <w:b/>
        </w:rPr>
        <w:t xml:space="preserve">А</w:t>
      </w:r>
      <w:r>
        <w:rPr>
          <w:b/>
        </w:rPr>
        <w:t xml:space="preserve"> РОССИИ//УФК по Костромской области г. Кострома «Получатель» - (Администрация городского округа город Шарья Костромской области, л/с 05413009430), ИНН/КПП 4407002295/440701001, р/с 03232643347300004100; БИК 013469126; ОКТМО: 34730000; КБК 901 111 </w:t>
      </w:r>
      <w:r>
        <w:rPr>
          <w:b/>
        </w:rPr>
        <w:t xml:space="preserve">09080 04 0000120, Доходы от платы за размещение нестационарных торговых объектов; ОГРН 1024402034095.   Назначение платежа: Задаток за участие в аукционе указать дату (число, месяц, год) по Лоту №…...(указать номер лота). Оплата через сберкассу - без КБК.</w:t>
      </w:r>
      <w:r>
        <w:rPr>
          <w:b/>
        </w:rPr>
      </w:r>
      <w:r>
        <w:rPr>
          <w:b/>
        </w:rPr>
      </w:r>
    </w:p>
    <w:p>
      <w:pPr>
        <w:pStyle w:val="820"/>
        <w:pBdr/>
        <w:spacing/>
        <w:ind w:right="-52" w:firstLine="572"/>
        <w:jc w:val="both"/>
        <w:rPr/>
      </w:pPr>
      <w:r>
        <w:rPr>
          <w:bCs/>
        </w:rPr>
        <w:t xml:space="preserve">5.5. </w:t>
      </w:r>
      <w:r>
        <w:t xml:space="preserve">Документом, подтверждающим поступление задатка на счет Организатора аукциона, является платежное поручение.</w:t>
      </w:r>
      <w:r/>
    </w:p>
    <w:p>
      <w:pPr>
        <w:pStyle w:val="820"/>
        <w:pBdr/>
        <w:spacing/>
        <w:ind w:firstLine="567"/>
        <w:jc w:val="both"/>
        <w:rPr/>
      </w:pPr>
      <w:r>
        <w:t xml:space="preserve">5.6. Организатор аукциона возвращает задаток путем перечисления суммы внесенного задатка на расчетный сче</w:t>
      </w:r>
      <w:r>
        <w:t xml:space="preserve">т, указанный Участником в заявке на участие в Аукционе. Организатор аукциона не отвечает за нарушение установленных сроков возврата задатка в случае, если Участник своевременно не информировал Организатора аукциона об изменении своих банковских реквизитов.</w:t>
      </w:r>
      <w:r/>
    </w:p>
    <w:p>
      <w:pPr>
        <w:pStyle w:val="820"/>
        <w:pBdr/>
        <w:spacing/>
        <w:ind w:firstLine="567"/>
        <w:jc w:val="both"/>
        <w:rPr/>
      </w:pPr>
      <w:r>
        <w:t xml:space="preserve">5.7. Организатор аукциона возвращает сумму внесенного Участником задатка в следующие сроки:</w:t>
      </w:r>
      <w:r/>
    </w:p>
    <w:p>
      <w:pPr>
        <w:pStyle w:val="820"/>
        <w:pBdr/>
        <w:spacing/>
        <w:ind w:firstLine="851"/>
        <w:jc w:val="both"/>
        <w:rPr/>
      </w:pPr>
      <w:r>
        <w:t xml:space="preserve">1) в случае поступления от Участника уведомления об отзыве заявки на участие в аукционе – в течение 5 (пяти) рабочих дней с момента регистрации отзыва заявки в журнале регистрации заявок;</w:t>
      </w:r>
      <w:r/>
    </w:p>
    <w:p>
      <w:pPr>
        <w:pStyle w:val="820"/>
        <w:pBdr/>
        <w:spacing/>
        <w:ind w:firstLine="900"/>
        <w:jc w:val="both"/>
        <w:rPr/>
      </w:pPr>
      <w:r>
        <w:t xml:space="preserve">2) в случае, если Участник, не допущен к участию в Аукционе - в течение 5 (пяти) рабочих дней с даты подписания протокола о рассмотрении заявок;</w:t>
      </w:r>
      <w:r/>
    </w:p>
    <w:p>
      <w:pPr>
        <w:pStyle w:val="820"/>
        <w:numPr>
          <w:ilvl w:val="0"/>
          <w:numId w:val="0"/>
        </w:numPr>
        <w:pBdr/>
        <w:spacing/>
        <w:ind w:firstLine="851" w:left="0"/>
        <w:jc w:val="both"/>
        <w:outlineLvl w:val="1"/>
        <w:rPr/>
      </w:pPr>
      <w:r>
        <w:t xml:space="preserve">3)  Участнику, который участвовал в Аукционе, но не стал его победителем - в течение 5 (пяти) рабочих дней с даты подписания протокола Аукциона;</w:t>
      </w:r>
      <w:r/>
    </w:p>
    <w:p>
      <w:pPr>
        <w:pStyle w:val="820"/>
        <w:pBdr/>
        <w:spacing/>
        <w:ind w:firstLine="851"/>
        <w:jc w:val="both"/>
        <w:rPr/>
      </w:pPr>
      <w:r>
        <w:t xml:space="preserve">4)  в случае признания аукциона несостоявшимся – в течение 5 (пяти) рабочих дней с момента принятия соответствующего решения;</w:t>
      </w:r>
      <w:r/>
    </w:p>
    <w:p>
      <w:pPr>
        <w:pStyle w:val="820"/>
        <w:pBdr/>
        <w:spacing/>
        <w:ind w:firstLine="851"/>
        <w:jc w:val="both"/>
        <w:rPr/>
      </w:pPr>
      <w:r>
        <w:t xml:space="preserve">5)  в случае отмены аукциона – в течение 5 (пяти) рабочих дней с момента принятия соответствующего решения;</w:t>
      </w:r>
      <w:r/>
    </w:p>
    <w:p>
      <w:pPr>
        <w:pStyle w:val="820"/>
        <w:pBdr/>
        <w:spacing/>
        <w:ind w:firstLine="851"/>
        <w:jc w:val="both"/>
        <w:rPr/>
      </w:pPr>
      <w:r>
        <w:t xml:space="preserve">6) Участнику, который сделал предпоследнее предложение о цене Договора, - в течение 5 (пяти) рабочих дней с даты подписания Договора с победителем Аукциона.</w:t>
      </w:r>
      <w:r/>
    </w:p>
    <w:p>
      <w:pPr>
        <w:pStyle w:val="820"/>
        <w:pBdr/>
        <w:spacing/>
        <w:ind w:firstLine="851"/>
        <w:jc w:val="both"/>
        <w:rPr/>
      </w:pPr>
      <w:r>
        <w:t xml:space="preserve">5.8. Внесенный задаток не возвращается в случае:</w:t>
      </w:r>
      <w:r/>
    </w:p>
    <w:p>
      <w:pPr>
        <w:pStyle w:val="820"/>
        <w:pBdr/>
        <w:spacing/>
        <w:ind w:firstLine="851"/>
        <w:jc w:val="both"/>
        <w:rPr/>
      </w:pPr>
      <w:r>
        <w:t xml:space="preserve">1) если Участник, признанный победителем Аукциона </w:t>
      </w:r>
      <w:r>
        <w:rPr>
          <w:color w:val="000000"/>
        </w:rPr>
        <w:t xml:space="preserve">или Участник Аукциона, </w:t>
      </w:r>
      <w:r>
        <w:t xml:space="preserve">сделавший предпоследнее предложение о цене Договора</w:t>
      </w:r>
      <w:r>
        <w:rPr>
          <w:color w:val="000000"/>
        </w:rPr>
        <w:t xml:space="preserve">, </w:t>
      </w:r>
      <w:r>
        <w:t xml:space="preserve">уклоняется от заключения Договора; </w:t>
      </w:r>
      <w:r/>
    </w:p>
    <w:p>
      <w:pPr>
        <w:pStyle w:val="820"/>
        <w:pBdr/>
        <w:spacing/>
        <w:ind w:firstLine="851"/>
        <w:jc w:val="both"/>
        <w:rPr/>
      </w:pPr>
      <w:r>
        <w:t xml:space="preserve">2) если один Участник Аукциона является одновременно победителем Аукциона и Участником Аукциона, сделавшим предпоследнее предложение о цене Договора, при уклонении указанного Участника Аукциона от заключения Договора в качестве победителя Аукциона.</w:t>
      </w:r>
      <w:r/>
    </w:p>
    <w:p>
      <w:pPr>
        <w:pStyle w:val="820"/>
        <w:pBdr/>
        <w:spacing/>
        <w:ind w:firstLine="567"/>
        <w:jc w:val="both"/>
        <w:rPr>
          <w:rStyle w:val="870"/>
          <w:b w:val="0"/>
          <w:bCs w:val="0"/>
        </w:rPr>
      </w:pPr>
      <w:r>
        <w:t xml:space="preserve">5.9. Задаток, внесенный Участником, выигравшим Аукцион, засчитывается в счет оплаты по Договору</w:t>
      </w:r>
      <w:r>
        <w:rPr>
          <w:rStyle w:val="870"/>
          <w:b w:val="0"/>
          <w:bCs w:val="0"/>
        </w:rPr>
        <w:t xml:space="preserve">.</w:t>
      </w:r>
      <w:r>
        <w:rPr>
          <w:rStyle w:val="870"/>
          <w:b w:val="0"/>
          <w:bCs w:val="0"/>
        </w:rPr>
      </w:r>
      <w:r>
        <w:rPr>
          <w:rStyle w:val="870"/>
          <w:b w:val="0"/>
          <w:bCs w:val="0"/>
        </w:rPr>
      </w:r>
    </w:p>
    <w:p>
      <w:pPr>
        <w:pStyle w:val="820"/>
        <w:pBdr/>
        <w:spacing/>
        <w:ind w:firstLine="851"/>
        <w:jc w:val="both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numPr>
          <w:ilvl w:val="0"/>
          <w:numId w:val="0"/>
        </w:numPr>
        <w:pBdr/>
        <w:spacing/>
        <w:ind w:firstLine="851" w:left="0"/>
        <w:outlineLvl w:val="1"/>
        <w:rPr>
          <w:rStyle w:val="870"/>
        </w:rPr>
      </w:pPr>
      <w:r>
        <w:rPr>
          <w:rStyle w:val="870"/>
        </w:rPr>
        <w:t xml:space="preserve">Статья 6. Проведение аукциона </w:t>
      </w:r>
      <w:r>
        <w:rPr>
          <w:rStyle w:val="870"/>
        </w:rPr>
      </w:r>
      <w:r>
        <w:rPr>
          <w:rStyle w:val="870"/>
        </w:rPr>
      </w:r>
    </w:p>
    <w:p>
      <w:pPr>
        <w:pStyle w:val="820"/>
        <w:numPr>
          <w:ilvl w:val="0"/>
          <w:numId w:val="0"/>
        </w:numPr>
        <w:pBdr/>
        <w:spacing/>
        <w:ind w:firstLine="567" w:left="0"/>
        <w:jc w:val="both"/>
        <w:outlineLvl w:val="1"/>
        <w:rPr>
          <w:bCs/>
        </w:rPr>
      </w:pPr>
      <w:r>
        <w:t xml:space="preserve">6.1. Начало рассмотрения заявок на участие в Аукционе на предмет соответствия требованиям, установленным аукционной документацией, начинается на следующий рабочий день после окончания приема заявок на участие в Аукционе</w:t>
      </w:r>
      <w:r>
        <w:rPr>
          <w:highlight w:val="white"/>
        </w:rPr>
        <w:t xml:space="preserve"> </w:t>
      </w:r>
      <w:r>
        <w:rPr>
          <w:b/>
          <w:bCs/>
          <w:highlight w:val="white"/>
        </w:rPr>
        <w:t xml:space="preserve">05 мая 2025</w:t>
      </w:r>
      <w:r>
        <w:rPr>
          <w:b/>
          <w:highlight w:val="white"/>
        </w:rPr>
        <w:t xml:space="preserve"> г</w:t>
      </w:r>
      <w:r>
        <w:rPr>
          <w:b/>
          <w:highlight w:val="white"/>
        </w:rPr>
        <w:t xml:space="preserve">ода в 14 ча</w:t>
      </w:r>
      <w:r>
        <w:rPr>
          <w:b/>
        </w:rPr>
        <w:t xml:space="preserve">сов 00</w:t>
      </w:r>
      <w:r>
        <w:t xml:space="preserve"> </w:t>
      </w:r>
      <w:r>
        <w:rPr>
          <w:b/>
        </w:rPr>
        <w:t xml:space="preserve">минут</w:t>
      </w:r>
      <w:r>
        <w:t xml:space="preserve">,</w:t>
      </w:r>
      <w:r>
        <w:rPr>
          <w:bCs/>
        </w:rPr>
        <w:t xml:space="preserve"> по адресу: город Шарья, ул. Октябрьская, дом 21, кабинет первого заместителя главы администрации городского округа город Шарья.</w:t>
      </w:r>
      <w:r>
        <w:rPr>
          <w:bCs/>
        </w:rPr>
      </w:r>
      <w:r>
        <w:rPr>
          <w:bCs/>
        </w:rPr>
      </w:r>
    </w:p>
    <w:p>
      <w:pPr>
        <w:pStyle w:val="820"/>
        <w:numPr>
          <w:ilvl w:val="0"/>
          <w:numId w:val="0"/>
        </w:numPr>
        <w:pBdr/>
        <w:spacing/>
        <w:ind w:firstLine="567" w:left="0"/>
        <w:jc w:val="both"/>
        <w:outlineLvl w:val="1"/>
        <w:rPr/>
      </w:pPr>
      <w:r>
        <w:rPr>
          <w:bCs/>
        </w:rPr>
        <w:t xml:space="preserve">6.2. </w:t>
      </w:r>
      <w:r>
        <w:t xml:space="preserve">В аукционе могут участвовать только заявители, признанные участниками аукциона.</w:t>
      </w:r>
      <w:r/>
    </w:p>
    <w:p>
      <w:pPr>
        <w:pStyle w:val="820"/>
        <w:pBdr/>
        <w:spacing/>
        <w:ind w:right="-52" w:firstLine="572"/>
        <w:jc w:val="both"/>
        <w:rPr/>
      </w:pPr>
      <w:r>
        <w:t xml:space="preserve">6.3. Аукцион проводится</w:t>
      </w:r>
      <w:r>
        <w:rPr>
          <w:b/>
          <w:bCs/>
          <w:highlight w:val="white"/>
        </w:rPr>
        <w:t xml:space="preserve"> 05 мая 2025 года </w:t>
      </w:r>
      <w:r>
        <w:rPr>
          <w:b/>
          <w:bCs/>
          <w:highlight w:val="white"/>
        </w:rPr>
        <w:t xml:space="preserve"> в 10</w:t>
      </w:r>
      <w:r>
        <w:rPr>
          <w:b/>
          <w:bCs/>
        </w:rPr>
        <w:t xml:space="preserve"> часов 00 минут</w:t>
      </w:r>
      <w:r>
        <w:t xml:space="preserve"> </w:t>
      </w:r>
      <w:r>
        <w:rPr>
          <w:bCs/>
        </w:rPr>
        <w:t xml:space="preserve">по московскому времени по адресу: город Шарья, ул. Октябрьская, дом 21, кабинет первого заместителя главы администрации городского округа город Шарья.</w:t>
      </w:r>
      <w:r/>
    </w:p>
    <w:p>
      <w:pPr>
        <w:pStyle w:val="820"/>
        <w:pBdr/>
        <w:spacing/>
        <w:ind w:firstLine="567"/>
        <w:jc w:val="both"/>
        <w:rPr/>
      </w:pPr>
      <w:r>
        <w:t xml:space="preserve"> </w:t>
      </w:r>
      <w:r>
        <w:t xml:space="preserve">6.4. Место размещения нестац</w:t>
      </w:r>
      <w:r>
        <w:t xml:space="preserve">ионарных торговых объектов, в отношении которых проводится Аукцион, тип НТО, площадь НТО, специализация, срок действия Договора, в течение которого осуществляется размещение НТО, начальная (минимальная) цена Договора и «шаг» аукциона, приведены в таблице: </w:t>
      </w:r>
      <w:r/>
    </w:p>
    <w:p>
      <w:pPr>
        <w:pStyle w:val="820"/>
        <w:pBdr/>
        <w:spacing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075" w:type="dxa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2"/>
        <w:gridCol w:w="1501"/>
        <w:gridCol w:w="1209"/>
        <w:gridCol w:w="1148"/>
        <w:gridCol w:w="1161"/>
        <w:gridCol w:w="1455"/>
        <w:gridCol w:w="1491"/>
        <w:gridCol w:w="1517"/>
      </w:tblGrid>
      <w:tr>
        <w:trPr>
          <w:trHeight w:val="18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20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1" w:type="dxa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Место размещения НТО, в соответствии со схемой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9" w:type="dxa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12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Площадь, занимаемая НТО (кв.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12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метров)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textDirection w:val="lrTb"/>
            <w:noWrap w:val="false"/>
          </w:tcPr>
          <w:p>
            <w:pPr>
              <w:pStyle w:val="912"/>
              <w:pBdr/>
              <w:spacing/>
              <w:ind w:right="-108" w:firstLine="0" w:left="-1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Ассортимент реализуемой продукции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 действия Договора на размещение НТО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91" w:type="dxa"/>
            <w:textDirection w:val="lrTb"/>
            <w:noWrap w:val="false"/>
          </w:tcPr>
          <w:p>
            <w:pPr>
              <w:pStyle w:val="820"/>
              <w:pBdr/>
              <w:spacing/>
              <w:ind w:firstLine="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Начальная (минимальная) цена Договора в размере ежегодного платежа, </w:t>
            </w:r>
            <w:r>
              <w:rPr>
                <w:sz w:val="20"/>
                <w:szCs w:val="20"/>
              </w:rPr>
              <w:t xml:space="preserve">руб.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7" w:type="dxa"/>
            <w:textDirection w:val="lrTb"/>
            <w:noWrap w:val="false"/>
          </w:tcPr>
          <w:p>
            <w:pPr>
              <w:pStyle w:val="820"/>
              <w:pBdr/>
              <w:spacing/>
              <w:ind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«Шаг аукциона»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0"/>
              <w:pBdr/>
              <w:spacing/>
              <w:ind w:firstLine="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размере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0"/>
              <w:pBdr/>
              <w:spacing/>
              <w:ind w:firstLine="21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5 % начальной (минимальной) цены Договора, руб.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rPr>
          <w:trHeight w:val="9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1" w:type="dxa"/>
            <w:textDirection w:val="lrTb"/>
            <w:noWrap w:val="false"/>
          </w:tcPr>
          <w:p>
            <w:pPr>
              <w:pStyle w:val="820"/>
              <w:widowControl w:val="false"/>
              <w:pBdr/>
              <w:spacing/>
              <w:ind/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г.</w:t>
            </w:r>
            <w:r>
              <w:rPr>
                <w:sz w:val="20"/>
                <w:szCs w:val="20"/>
                <w:highlight w:val="white"/>
                <w:lang w:eastAsia="ru-RU"/>
              </w:rPr>
              <w:t xml:space="preserve">Шарья, </w:t>
            </w:r>
            <w:r>
              <w:rPr>
                <w:sz w:val="20"/>
                <w:szCs w:val="20"/>
                <w:highlight w:val="none"/>
                <w:lang w:eastAsia="ru-RU"/>
              </w:rPr>
              <w:t xml:space="preserve">перекресток ул. Парковая и ул. Алешунинская, район жилого дома №1</w:t>
            </w:r>
            <w:r/>
            <w:r>
              <w:rPr>
                <w:sz w:val="20"/>
                <w:szCs w:val="20"/>
                <w:highlight w:val="white"/>
                <w:lang w:eastAsia="ru-RU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9" w:type="dxa"/>
            <w:textDirection w:val="lrTb"/>
            <w:noWrap w:val="false"/>
          </w:tcPr>
          <w:p>
            <w:pPr>
              <w:pStyle w:val="820"/>
              <w:widowControl w:val="false"/>
              <w:pBdr/>
              <w:spacing/>
              <w:ind/>
              <w:jc w:val="lef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ru-RU"/>
              </w:rPr>
              <w:t xml:space="preserve">Временный торговый павильон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  <w:t xml:space="preserve">96,0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1" w:type="dxa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left"/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  <w:t xml:space="preserve">продтовары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5" w:type="dxa"/>
            <w:textDirection w:val="lrTb"/>
            <w:noWrap w:val="false"/>
          </w:tcPr>
          <w:p>
            <w:pPr>
              <w:pStyle w:val="820"/>
              <w:pBdr/>
              <w:spacing/>
              <w:ind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 </w:t>
            </w:r>
            <w:r>
              <w:rPr>
                <w:sz w:val="20"/>
                <w:szCs w:val="20"/>
                <w:highlight w:val="white"/>
              </w:rPr>
              <w:t xml:space="preserve">15.05.2025г.по </w:t>
            </w:r>
            <w:r>
              <w:rPr>
                <w:sz w:val="20"/>
                <w:szCs w:val="20"/>
                <w:highlight w:val="white"/>
              </w:rPr>
              <w:t xml:space="preserve">14.</w:t>
            </w:r>
            <w:r>
              <w:rPr>
                <w:sz w:val="20"/>
                <w:szCs w:val="20"/>
                <w:highlight w:val="white"/>
              </w:rPr>
              <w:t xml:space="preserve">05.2030</w:t>
            </w:r>
            <w:r>
              <w:rPr>
                <w:sz w:val="20"/>
                <w:szCs w:val="20"/>
                <w:highlight w:val="white"/>
              </w:rPr>
              <w:t xml:space="preserve">г</w:t>
            </w:r>
            <w:r>
              <w:rPr>
                <w:sz w:val="20"/>
                <w:szCs w:val="20"/>
                <w:highlight w:val="white"/>
              </w:rPr>
              <w:t xml:space="preserve">.</w:t>
            </w:r>
            <w:r>
              <w:rPr>
                <w:sz w:val="20"/>
                <w:szCs w:val="20"/>
                <w:highlight w:val="white"/>
              </w:rPr>
              <w:t xml:space="preserve"> (60 месяцев)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91" w:type="dxa"/>
            <w:textDirection w:val="lrTb"/>
            <w:noWrap w:val="false"/>
          </w:tcPr>
          <w:p>
            <w:pPr>
              <w:pStyle w:val="820"/>
              <w:pBdr/>
              <w:spacing/>
              <w:ind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820"/>
              <w:pBdr/>
              <w:spacing/>
              <w:ind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none"/>
              </w:rPr>
              <w:t xml:space="preserve">67154,53</w:t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7" w:type="dxa"/>
            <w:textDirection w:val="lrTb"/>
            <w:noWrap w:val="false"/>
          </w:tcPr>
          <w:p>
            <w:pPr>
              <w:pStyle w:val="820"/>
              <w:pBdr/>
              <w:spacing/>
              <w:ind w:firstLine="2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820"/>
              <w:pBdr/>
              <w:spacing/>
              <w:ind w:firstLine="21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3357,73</w:t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</w:tbl>
    <w:p>
      <w:pPr>
        <w:pStyle w:val="820"/>
        <w:pBdr/>
        <w:tabs>
          <w:tab w:val="left" w:leader="none" w:pos="428"/>
          <w:tab w:val="clear" w:leader="none" w:pos="709"/>
        </w:tabs>
        <w:spacing/>
        <w:ind/>
        <w:jc w:val="both"/>
        <w:rPr>
          <w:rStyle w:val="870"/>
          <w:b w:val="0"/>
        </w:rPr>
      </w:pPr>
      <w:r>
        <w:rPr>
          <w:b w:val="0"/>
        </w:rPr>
      </w:r>
      <w:r>
        <w:rPr>
          <w:rStyle w:val="870"/>
          <w:b w:val="0"/>
        </w:rPr>
      </w:r>
      <w:r>
        <w:rPr>
          <w:rStyle w:val="870"/>
          <w:b w:val="0"/>
        </w:rPr>
      </w:r>
    </w:p>
    <w:tbl>
      <w:tblPr>
        <w:tblW w:w="10031" w:type="dxa"/>
        <w:tblInd w:w="0" w:type="dxa"/>
        <w:tblBorders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524"/>
        <w:gridCol w:w="850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820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НТО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6" w:type="dxa"/>
            <w:textDirection w:val="lrTb"/>
            <w:noWrap w:val="false"/>
          </w:tcPr>
          <w:p>
            <w:pPr>
              <w:pStyle w:val="820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и технические характеристики НТО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4" w:type="dxa"/>
            <w:textDirection w:val="lrTb"/>
            <w:noWrap w:val="false"/>
          </w:tcPr>
          <w:p>
            <w:pPr>
              <w:pStyle w:val="820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Временный торговый павильон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0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0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20"/>
              <w:pBdr/>
              <w:spacing/>
              <w: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6" w:type="dxa"/>
            <w:textDirection w:val="lrTb"/>
            <w:noWrap w:val="false"/>
          </w:tcPr>
          <w:p>
            <w:pPr>
              <w:pStyle w:val="914"/>
              <w:pBdr/>
              <w:spacing w:after="30" w:before="30" w:line="240" w:lineRule="atLeast"/>
              <w:ind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Оборудованное временное сооружение, не относящееся к объектам капитального строительства и не являющееся объектом недвижимости, имеющее торговый зал и помещение для хранения товарного запаса, рассчитанно</w:t>
            </w:r>
            <w:r>
              <w:rPr>
                <w:sz w:val="20"/>
                <w:szCs w:val="20"/>
              </w:rPr>
              <w:t xml:space="preserve">е на одно или несколько рабочих мест. НТО должны устанавливаться на твердые виды покрытия, их техническая оснащенность должна отвечать санитарным, противопожарным, экологическим правилам, правилам продажи отдельных видов товаров, соответствовать требования</w:t>
            </w:r>
            <w:r>
              <w:rPr>
                <w:sz w:val="20"/>
                <w:szCs w:val="20"/>
              </w:rPr>
              <w:t xml:space="preserve">м безопасности для жизни и здоровья людей, условиям приема, хранения и реализации товара, а также обеспечивать условия труда и правила личной гигиены работников. При осуществлении торговой деятельности обслуживание покупателей должно осуществляться со стор</w:t>
            </w:r>
            <w:r>
              <w:rPr>
                <w:sz w:val="20"/>
                <w:szCs w:val="20"/>
              </w:rPr>
              <w:t xml:space="preserve">оны тротуара или иной площадки с твердым покрытием, не являющейся проезжей частью. Торговое место оснащается урной для мусора. Необходимо наличие вывески с указанием организационно-правовой формы, юридического адреса, режима работы, единообразных ценников.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820"/>
        <w:pBdr/>
        <w:spacing/>
        <w:ind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pStyle w:val="820"/>
        <w:pBdr/>
        <w:spacing/>
        <w:ind w:firstLine="851"/>
        <w:rPr/>
      </w:pPr>
      <w:r>
        <w:rPr>
          <w:rStyle w:val="870"/>
        </w:rPr>
        <w:t xml:space="preserve">Статья 7. Порядок заключения Договора</w:t>
      </w:r>
      <w:r/>
    </w:p>
    <w:p>
      <w:pPr>
        <w:pStyle w:val="820"/>
        <w:widowControl w:val="false"/>
        <w:pBdr/>
        <w:spacing/>
        <w:ind w:firstLine="540"/>
        <w:jc w:val="both"/>
        <w:rPr/>
      </w:pPr>
      <w:r>
        <w:t xml:space="preserve">7.1. Заключение Договора осуществляется в порядке, предусмотренном Гражданским </w:t>
      </w:r>
      <w:hyperlink r:id="rId12" w:tooltip="consultantplus://offline/ref=9EF9F267199E4927BAF68FFF1049E5A3E0BCA2A8BA43F5D6CB74BA170DCFFD6027A7D985EE4BC9O5cDH" w:history="1">
        <w:r>
          <w:t xml:space="preserve">кодексом</w:t>
        </w:r>
      </w:hyperlink>
      <w:r>
        <w:t xml:space="preserve"> Российской Федерации, правовыми актами Костромской области и администрации городского округа город Шарья. </w:t>
      </w:r>
      <w:r/>
    </w:p>
    <w:p>
      <w:pPr>
        <w:pStyle w:val="820"/>
        <w:pBdr/>
        <w:spacing/>
        <w:ind w:firstLine="567"/>
        <w:jc w:val="both"/>
        <w:rPr/>
      </w:pPr>
      <w:r>
        <w:t xml:space="preserve">7.2. Организатор Аукциона на основании протокола аукциона в течение трех рабочих дней со дня подписания протокола о результатах Аукциона готовит и передает победителю Аукциона, проект </w:t>
      </w:r>
      <w:hyperlink r:id="rId13" w:tooltip="consultantplus://offline/ref=8C89BFC02953508CF09BC4B0BFDBE4D7A686D789DD30A19AB40120DE6B64A1B5F741201F13E04077D4E746V6J9N" w:history="1">
        <w:r>
          <w:t xml:space="preserve">Договора</w:t>
        </w:r>
      </w:hyperlink>
      <w:r>
        <w:t xml:space="preserve"> (Приложение № 3 к аукционной документации). Участник, выигравший Аукцион, обязан не позднее двадцати дней со дня подписания протокола аукциона подписать и вернуть Договор Организатору аукциона. </w:t>
      </w:r>
      <w:r/>
    </w:p>
    <w:p>
      <w:pPr>
        <w:pStyle w:val="820"/>
        <w:widowControl w:val="false"/>
        <w:pBdr/>
        <w:spacing/>
        <w:ind w:firstLine="540"/>
        <w:jc w:val="both"/>
        <w:rPr/>
      </w:pPr>
      <w:r/>
      <w:bookmarkStart w:id="1" w:name="Par318"/>
      <w:r/>
      <w:bookmarkEnd w:id="1"/>
      <w:r>
        <w:t xml:space="preserve">7.3. В срок, пре</w:t>
      </w:r>
      <w:r>
        <w:t xml:space="preserve">дусмотренный для заключения Договора, Организатор обязан отказаться от заключения Договора с победителем аукциона либо с участником аукциона, с которым заключается такой Договор в соответствии с пунктом 7.5. настоящего Порядка, в случае установления факта:</w:t>
      </w:r>
      <w:r/>
    </w:p>
    <w:p>
      <w:pPr>
        <w:pStyle w:val="820"/>
        <w:widowControl w:val="false"/>
        <w:pBdr/>
        <w:spacing/>
        <w:ind w:firstLine="570"/>
        <w:jc w:val="both"/>
        <w:rPr/>
      </w:pPr>
      <w:r>
        <w:t xml:space="preserve">1) проведения ликвидации Участника или принятия арбитражным судом решения о признании его банкротом и об открытии конкурсного производства;</w:t>
      </w:r>
      <w:r/>
    </w:p>
    <w:p>
      <w:pPr>
        <w:pStyle w:val="820"/>
        <w:widowControl w:val="false"/>
        <w:pBdr/>
        <w:spacing/>
        <w:ind w:firstLine="570"/>
        <w:jc w:val="both"/>
        <w:rPr/>
      </w:pPr>
      <w:r>
        <w:t xml:space="preserve">2) приостановления деятельности Участника в порядке, предусмотренном </w:t>
      </w:r>
      <w:hyperlink r:id="rId14" w:tooltip="consultantplus://offline/ref=9EF9F267199E4927BAF68FFF1049E5A3E7B9ABADB143F5D6CB74BA170DCFFD6027A7DD84OEcDH" w:history="1">
        <w:r>
          <w:t xml:space="preserve">Кодексом</w:t>
        </w:r>
      </w:hyperlink>
      <w:r>
        <w:t xml:space="preserve"> Российской Федерации об административных правонарушениях;</w:t>
      </w:r>
      <w:r/>
    </w:p>
    <w:p>
      <w:pPr>
        <w:pStyle w:val="820"/>
        <w:widowControl w:val="false"/>
        <w:pBdr/>
        <w:spacing/>
        <w:ind w:firstLine="570"/>
        <w:jc w:val="both"/>
        <w:rPr/>
      </w:pPr>
      <w:r>
        <w:t xml:space="preserve">3) предоставления Участником заведомо ложных сведений.</w:t>
      </w:r>
      <w:r/>
    </w:p>
    <w:p>
      <w:pPr>
        <w:pStyle w:val="820"/>
        <w:widowControl w:val="false"/>
        <w:pBdr/>
        <w:spacing/>
        <w:ind w:firstLine="540"/>
        <w:jc w:val="both"/>
        <w:rPr/>
      </w:pPr>
      <w:r>
        <w:t xml:space="preserve">7.3. В случае отказа от заключения Договора с победителем аукциона либо при уклонении победителя аукциона от заключения Договора, Комиссией в срок не позднее дня, следующего после дня установления фактов, предусмотренных </w:t>
      </w:r>
      <w:hyperlink w:tooltip="#Par318" w:anchor="Par318" w:history="1">
        <w:r>
          <w:t xml:space="preserve">частью 2</w:t>
        </w:r>
      </w:hyperlink>
      <w:r>
        <w:t xml:space="preserve"> статьи 9 настоящего Порядка и являющихся основанием для отказа от заключения Договора, составляется протокол об отказе от заключения Договора. В данном протоколе должны с</w:t>
      </w:r>
      <w:r>
        <w:t xml:space="preserve">одержаться сведения о месте, дате и времени его составления, о лице, с которым Организатор отказывается заключить Договор, сведения о фактах, являющихся основанием для отказа от заключения Договора, а также реквизиты документов, подтверждающих такие факты.</w:t>
      </w:r>
      <w:r/>
    </w:p>
    <w:p>
      <w:pPr>
        <w:pStyle w:val="820"/>
        <w:widowControl w:val="false"/>
        <w:pBdr/>
        <w:spacing/>
        <w:ind w:firstLine="540"/>
        <w:jc w:val="both"/>
        <w:rPr/>
      </w:pPr>
      <w:r>
        <w:t xml:space="preserve">Протокол подписывается всеми присутствующими членами Комиссии в день его составления. Протокол составляется в двух экземплярах, один из которых хранится у Уполномоченного органа.</w:t>
      </w:r>
      <w:r/>
    </w:p>
    <w:p>
      <w:pPr>
        <w:pStyle w:val="820"/>
        <w:widowControl w:val="false"/>
        <w:pBdr/>
        <w:spacing/>
        <w:ind w:firstLine="540"/>
        <w:jc w:val="both"/>
        <w:rPr/>
      </w:pPr>
      <w:r>
        <w:t xml:space="preserve">Указанный протокол размещается Уполномоченным органом на официал</w:t>
      </w:r>
      <w:r>
        <w:t xml:space="preserve">ьном сайте Администрации и в газете «Ведомости Шарьи» в течение дня, следующего после дня подписания. Организатор в течение двух рабочих дней с даты подписания протокола передает один экземпляр протокола Участнику, с которым отказывается заключить Договор.</w:t>
      </w:r>
      <w:r/>
    </w:p>
    <w:p>
      <w:pPr>
        <w:pStyle w:val="820"/>
        <w:widowControl w:val="false"/>
        <w:pBdr/>
        <w:spacing/>
        <w:ind w:firstLine="540"/>
        <w:jc w:val="both"/>
        <w:rPr/>
      </w:pPr>
      <w:r>
        <w:t xml:space="preserve">7.4. В случае, если победитель аукциона или участник аукциона, сделавший предпоследнее предложение о ц</w:t>
      </w:r>
      <w:r>
        <w:t xml:space="preserve">ене Договора, в срок, предусмотренный документацией об аукционе, не представил Организатору подписанный Договор, победитель аукциона или участник аукциона, сделавший предпоследнее предложение о цене Договора, признается уклонившимся от заключения Договора.</w:t>
      </w:r>
      <w:r/>
    </w:p>
    <w:p>
      <w:pPr>
        <w:pStyle w:val="820"/>
        <w:widowControl w:val="false"/>
        <w:pBdr/>
        <w:spacing/>
        <w:ind w:firstLine="540"/>
        <w:jc w:val="both"/>
        <w:rPr/>
      </w:pPr>
      <w:r>
        <w:t xml:space="preserve">7.5. В случае, если победитель аукциона пр</w:t>
      </w:r>
      <w:r>
        <w:t xml:space="preserve">изнан уклонившимся от заключения Договора, Организатор вправе обратиться в суд с иском о понуждении победителя аукциона заключить Договор, а также о возмещении убытков, причиненных уклонением от заключения Договора, либо заключить Договор с участником аукц</w:t>
      </w:r>
      <w:r>
        <w:t xml:space="preserve">иона, сделавшим предпоследнее предложение о цене договора. Организатор обязан заключить Договор с участником аукциона, сделавшим предпоследнее предложение о цене Договора, при отказе от заключения Договора с победителем аукциона в случаях, предусмотренных </w:t>
      </w:r>
      <w:hyperlink w:tooltip="#Par322" w:anchor="Par322" w:history="1">
        <w:r>
          <w:t xml:space="preserve">частью 3</w:t>
        </w:r>
      </w:hyperlink>
      <w:r>
        <w:t xml:space="preserve"> статьи 9 настоящего Порядка. Организатор в течение трех рабочих дней с даты подписа</w:t>
      </w:r>
      <w:r>
        <w:t xml:space="preserve">ния протокола об отказе от заключения Договора передает участнику аукциона, сделавшему предпоследнее предложение о цене Договора, один экземпляр протокола и Договор, который составляется путем включения цены Договора, предложенной участником, сделавшим пре</w:t>
      </w:r>
      <w:r>
        <w:t xml:space="preserve">дпоследнее предложение о цене Договора, в проект Договора, прилагаемый к документации об аукционе. Указанный Договор подписывается участником аукциона, сделавшим предпоследнее предложение о цене Договора, в десятидневный срок и представляется Организатору.</w:t>
      </w:r>
      <w:r/>
    </w:p>
    <w:p>
      <w:pPr>
        <w:pStyle w:val="820"/>
        <w:widowControl w:val="false"/>
        <w:pBdr/>
        <w:spacing/>
        <w:ind w:firstLine="540"/>
        <w:jc w:val="both"/>
        <w:rPr/>
      </w:pPr>
      <w:r>
        <w:t xml:space="preserve">При</w:t>
      </w:r>
      <w:r>
        <w:t xml:space="preserve"> этом заключение Договора для участника аукциона, сделавшего предпоследнее предложение о цене Договора, является обязательным. В случае уклонения победителя аукциона или участника аукциона, сделавшего предпоследнее предложение о цене договора, от заключени</w:t>
      </w:r>
      <w:r>
        <w:t xml:space="preserve">я Договора, задаток, внесенный ими, не возвращается. В случае уклонения участника аукциона, сделавшего предпоследнее предложение о цене Договора, от заключения договора, Организатор вправе обратиться в суд с иском о понуждении такого участника заключить До</w:t>
      </w:r>
      <w:r>
        <w:t xml:space="preserve">говор, а также о возмещении убытков, причиненных уклонением от заключения Договора. В случае, если Договор не заключен с победителем аукциона или с участником аукциона, сделавшим предпоследнее предложение о цене Договора, аукцион признается несостоявшимся.</w:t>
      </w:r>
      <w:r/>
    </w:p>
    <w:p>
      <w:pPr>
        <w:pStyle w:val="820"/>
        <w:widowControl w:val="false"/>
        <w:pBdr/>
        <w:spacing/>
        <w:ind w:firstLine="540"/>
        <w:jc w:val="both"/>
        <w:rPr/>
      </w:pPr>
      <w:r>
        <w:t xml:space="preserve">7.6. Договор заключается на условиях, указанных в документации об аукционе, по цене, предложенной победителем аукциона, или участником, сделавшим предпоследнее предложение о цене Договора.</w:t>
      </w:r>
      <w:r/>
    </w:p>
    <w:p>
      <w:pPr>
        <w:pStyle w:val="820"/>
        <w:widowControl w:val="false"/>
        <w:pBdr/>
        <w:spacing/>
        <w:ind w:firstLine="540"/>
        <w:jc w:val="both"/>
        <w:rPr/>
      </w:pPr>
      <w:r>
        <w:t xml:space="preserve">7.7. При заключении и исполнении Договора, изменение условий Договора, указанных в аукционной документации, по соглашению сторон и в одностороннем порядке не допускается.             </w:t>
      </w:r>
      <w:r/>
    </w:p>
    <w:p>
      <w:pPr>
        <w:pStyle w:val="820"/>
        <w:pBdr/>
        <w:spacing/>
        <w:ind w:firstLine="567"/>
        <w:jc w:val="both"/>
        <w:rPr/>
      </w:pPr>
      <w:r>
        <w:t xml:space="preserve">7.8. По каждому НТО заключается отдельный Договор.</w:t>
      </w:r>
      <w:r/>
    </w:p>
    <w:p>
      <w:pPr>
        <w:pStyle w:val="820"/>
        <w:numPr>
          <w:ilvl w:val="0"/>
          <w:numId w:val="0"/>
        </w:numPr>
        <w:pBdr/>
        <w:spacing/>
        <w:ind w:firstLine="567" w:left="0"/>
        <w:jc w:val="both"/>
        <w:outlineLvl w:val="1"/>
        <w:rPr/>
      </w:pPr>
      <w:r>
        <w:t xml:space="preserve">7.9. Размер платы по Договору определен по результатам аукциона. Размер платы на текущий год начисляется с даты проведения аукциона.</w:t>
      </w:r>
      <w:r/>
    </w:p>
    <w:p>
      <w:pPr>
        <w:pStyle w:val="820"/>
        <w:pBdr/>
        <w:spacing/>
        <w:ind w:firstLine="570"/>
        <w:jc w:val="both"/>
        <w:rPr/>
      </w:pPr>
      <w:r>
        <w:t xml:space="preserve">Начиная с года, следующего за годом заключения Договора, платежи осуществляются равными долями ежеквартально, до 15 числа первого месяца текущего квартала.</w:t>
      </w:r>
      <w:r/>
    </w:p>
    <w:p>
      <w:pPr>
        <w:pStyle w:val="820"/>
        <w:pBdr/>
        <w:spacing/>
        <w:ind w:firstLine="567"/>
        <w:jc w:val="both"/>
        <w:rPr/>
      </w:pPr>
      <w:r/>
      <w:r/>
    </w:p>
    <w:p>
      <w:pPr>
        <w:pStyle w:val="820"/>
        <w:pBdr/>
        <w:spacing/>
        <w:ind w:firstLine="851"/>
        <w:jc w:val="both"/>
        <w:rPr/>
      </w:pPr>
      <w:r/>
      <w:r/>
    </w:p>
    <w:p>
      <w:pPr>
        <w:pStyle w:val="820"/>
        <w:pBdr/>
        <w:spacing/>
        <w:ind w:firstLine="851"/>
        <w:jc w:val="both"/>
        <w:rPr/>
      </w:pPr>
      <w:r>
        <w:t xml:space="preserve"> </w:t>
      </w:r>
      <w:r/>
    </w:p>
    <w:p>
      <w:pPr>
        <w:pBdr/>
        <w:spacing/>
        <w:ind w:firstLine="0"/>
        <w:jc w:val="both"/>
        <w:rPr/>
      </w:pPr>
      <w:r/>
      <w:r/>
    </w:p>
    <w:p>
      <w:pPr>
        <w:pBdr/>
        <w:spacing/>
        <w:ind w:firstLine="0"/>
        <w:jc w:val="both"/>
        <w:rPr/>
      </w:pPr>
      <w:r/>
      <w:r/>
    </w:p>
    <w:p>
      <w:pPr>
        <w:pBdr/>
        <w:spacing/>
        <w:ind w:firstLine="0"/>
        <w:jc w:val="both"/>
        <w:rPr/>
      </w:pPr>
      <w:r/>
      <w:r/>
    </w:p>
    <w:p>
      <w:pPr>
        <w:pBdr/>
        <w:spacing/>
        <w:ind w:firstLine="0"/>
        <w:jc w:val="both"/>
        <w:rPr/>
      </w:pPr>
      <w:r/>
      <w:r/>
    </w:p>
    <w:p>
      <w:pPr>
        <w:pBdr/>
        <w:spacing/>
        <w:ind w:firstLine="0"/>
        <w:jc w:val="both"/>
        <w:rPr/>
      </w:pPr>
      <w:r/>
      <w:r/>
    </w:p>
    <w:p>
      <w:pPr>
        <w:pBdr/>
        <w:spacing/>
        <w:ind w:firstLine="0"/>
        <w:jc w:val="both"/>
        <w:rPr/>
      </w:pPr>
      <w:r/>
      <w:r/>
    </w:p>
    <w:p>
      <w:pPr>
        <w:pBdr/>
        <w:spacing/>
        <w:ind w:firstLine="0"/>
        <w:jc w:val="both"/>
        <w:rPr/>
      </w:pPr>
      <w:r/>
      <w:r/>
    </w:p>
    <w:p>
      <w:pPr>
        <w:pBdr/>
        <w:spacing/>
        <w:ind w:firstLine="0"/>
        <w:jc w:val="both"/>
        <w:rPr/>
      </w:pPr>
      <w:r/>
      <w:r/>
    </w:p>
    <w:p>
      <w:pPr>
        <w:pBdr/>
        <w:spacing/>
        <w:ind w:firstLine="0"/>
        <w:jc w:val="both"/>
        <w:rPr/>
      </w:pPr>
      <w:r/>
      <w:r/>
    </w:p>
    <w:p>
      <w:pPr>
        <w:pStyle w:val="820"/>
        <w:pBdr/>
        <w:spacing/>
        <w:ind w:firstLine="0"/>
        <w:jc w:val="both"/>
        <w:rPr/>
      </w:pPr>
      <w:r/>
      <w:r/>
    </w:p>
    <w:p>
      <w:pPr>
        <w:pStyle w:val="820"/>
        <w:pBdr/>
        <w:spacing/>
        <w:ind/>
        <w:jc w:val="left"/>
        <w:rPr>
          <w:rStyle w:val="870"/>
          <w:b w:val="0"/>
        </w:rPr>
      </w:pPr>
      <w:r>
        <w:t xml:space="preserve">                                                                                                                                           </w:t>
      </w:r>
      <w:bookmarkStart w:id="2" w:name="Par322"/>
      <w:r/>
      <w:bookmarkEnd w:id="2"/>
      <w:r>
        <w:rPr>
          <w:rStyle w:val="870"/>
          <w:b w:val="0"/>
        </w:rPr>
        <w:t xml:space="preserve">Приложение № 1</w:t>
      </w:r>
      <w:r>
        <w:rPr>
          <w:rStyle w:val="870"/>
          <w:b w:val="0"/>
        </w:rPr>
      </w:r>
      <w:r>
        <w:rPr>
          <w:rStyle w:val="870"/>
          <w:b w:val="0"/>
        </w:rPr>
      </w:r>
    </w:p>
    <w:p>
      <w:pPr>
        <w:pStyle w:val="820"/>
        <w:pBdr/>
        <w:spacing/>
        <w:ind/>
        <w:jc w:val="right"/>
        <w:rPr>
          <w:rStyle w:val="870"/>
          <w:b w:val="0"/>
        </w:rPr>
      </w:pPr>
      <w:r>
        <w:rPr>
          <w:rStyle w:val="870"/>
          <w:b w:val="0"/>
        </w:rPr>
        <w:t xml:space="preserve">к аукционной документации</w:t>
      </w:r>
      <w:r>
        <w:rPr>
          <w:rStyle w:val="870"/>
          <w:b w:val="0"/>
        </w:rPr>
      </w:r>
      <w:r>
        <w:rPr>
          <w:rStyle w:val="870"/>
          <w:b w:val="0"/>
        </w:rPr>
      </w:r>
    </w:p>
    <w:p>
      <w:pPr>
        <w:pStyle w:val="820"/>
        <w:pBdr/>
        <w:spacing/>
        <w:ind/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0"/>
        <w:pBdr/>
        <w:spacing/>
        <w:ind w:firstLine="708" w:left="3540"/>
        <w:jc w:val="right"/>
        <w:rPr>
          <w:bCs/>
        </w:rPr>
      </w:pPr>
      <w:r>
        <w:rPr>
          <w:bCs/>
        </w:rPr>
        <w:t xml:space="preserve">Администрация городского округа город Шарья</w:t>
      </w:r>
      <w:r>
        <w:rPr>
          <w:bCs/>
        </w:rPr>
      </w:r>
      <w:r>
        <w:rPr>
          <w:bCs/>
        </w:rPr>
      </w:r>
    </w:p>
    <w:p>
      <w:pPr>
        <w:pStyle w:val="820"/>
        <w:pBdr/>
        <w:spacing/>
        <w:ind w:firstLine="708" w:left="3540"/>
        <w:rPr/>
      </w:pPr>
      <w:r>
        <w:t xml:space="preserve">              </w:t>
      </w:r>
      <w:r>
        <w:t xml:space="preserve">от ______________________________________</w:t>
      </w:r>
      <w:r/>
    </w:p>
    <w:p>
      <w:pPr>
        <w:pStyle w:val="820"/>
        <w:pBdr/>
        <w:spacing/>
        <w:ind w:firstLine="0" w:left="4248"/>
        <w:jc w:val="both"/>
        <w:rPr>
          <w:sz w:val="20"/>
          <w:szCs w:val="20"/>
        </w:rPr>
      </w:pPr>
      <w:r>
        <w:t xml:space="preserve">                 </w:t>
      </w:r>
      <w:r>
        <w:rPr>
          <w:sz w:val="20"/>
          <w:szCs w:val="20"/>
        </w:rPr>
        <w:t xml:space="preserve">(название юридического лица, Ф.И.О. индивидуального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0"/>
        <w:pBdr/>
        <w:spacing/>
        <w:ind w:firstLine="0" w:left="424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предпринимателя)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0"/>
        <w:pBdr/>
        <w:spacing/>
        <w:ind/>
        <w:rPr>
          <w:rStyle w:val="870"/>
        </w:rPr>
      </w:pPr>
      <w:r>
        <w:rPr>
          <w:rStyle w:val="870"/>
        </w:rPr>
      </w:r>
      <w:r>
        <w:rPr>
          <w:rStyle w:val="870"/>
        </w:rPr>
      </w:r>
      <w:r>
        <w:rPr>
          <w:rStyle w:val="870"/>
        </w:rPr>
      </w:r>
    </w:p>
    <w:p>
      <w:pPr>
        <w:pStyle w:val="820"/>
        <w:pBdr/>
        <w:spacing/>
        <w:ind/>
        <w:rPr>
          <w:b/>
          <w:strike/>
        </w:rPr>
      </w:pPr>
      <w:r>
        <w:rPr>
          <w:rStyle w:val="870"/>
        </w:rPr>
        <w:t xml:space="preserve">Заявка</w:t>
      </w:r>
      <w:r>
        <w:rPr>
          <w:b/>
        </w:rPr>
        <w:br/>
      </w:r>
      <w:r>
        <w:rPr>
          <w:rStyle w:val="870"/>
        </w:rPr>
        <w:t xml:space="preserve">на участие в аукционе</w:t>
      </w:r>
      <w:r>
        <w:rPr>
          <w:rStyle w:val="870"/>
          <w:highlight w:val="white"/>
        </w:rPr>
        <w:t xml:space="preserve"> </w:t>
      </w:r>
      <w:r>
        <w:rPr>
          <w:rStyle w:val="870"/>
          <w:highlight w:val="white"/>
        </w:rPr>
        <w:t xml:space="preserve">05 мая 202</w:t>
      </w:r>
      <w:r>
        <w:rPr>
          <w:rStyle w:val="870"/>
          <w:highlight w:val="white"/>
        </w:rPr>
        <w:t xml:space="preserve">5 го</w:t>
      </w:r>
      <w:r>
        <w:rPr>
          <w:rStyle w:val="870"/>
          <w:highlight w:val="white"/>
        </w:rPr>
        <w:t xml:space="preserve">да</w:t>
      </w:r>
      <w:r>
        <w:rPr>
          <w:rStyle w:val="870"/>
        </w:rPr>
        <w:t xml:space="preserve"> </w:t>
      </w:r>
      <w:r>
        <w:rPr>
          <w:b/>
        </w:rPr>
        <w:t xml:space="preserve">на право заключения договора на размещение нестационарного торгового объекта на территории городского округа город Шарья</w:t>
      </w:r>
      <w:r>
        <w:rPr>
          <w:rStyle w:val="870"/>
        </w:rPr>
        <w:t xml:space="preserve"> </w:t>
      </w:r>
      <w:r>
        <w:rPr>
          <w:b/>
          <w:strike/>
        </w:rPr>
      </w:r>
      <w:r>
        <w:rPr>
          <w:b/>
          <w:strike/>
        </w:rPr>
      </w:r>
    </w:p>
    <w:p>
      <w:pPr>
        <w:pStyle w:val="820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Участник_____________________________________________________________________________________________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0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_____________________</w:t>
      </w:r>
      <w:r>
        <w:rPr>
          <w:sz w:val="20"/>
          <w:szCs w:val="20"/>
        </w:rPr>
        <w:t xml:space="preserve">_______________________________________________________________________________                  (организационно-правовая форма, наименование Участника) в  лице________________________________________________________________________________________________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 xml:space="preserve">(должность, фамилия, имя, отчество руководителя Участника)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сообщает о своем согласии участвовать в аукционе на право заключения договора на размещение нестационарного торгового объекта на территории городского округа город Шарья</w:t>
      </w:r>
      <w:r>
        <w:t xml:space="preserve">, </w:t>
      </w:r>
      <w:r>
        <w:rPr>
          <w:sz w:val="20"/>
          <w:szCs w:val="20"/>
        </w:rPr>
        <w:t xml:space="preserve">по лоту №________,  _____________________________________________________________________________________________________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0"/>
        <w:pBdr/>
        <w:spacing/>
        <w:ind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</w:t>
      </w:r>
      <w:r>
        <w:rPr>
          <w:sz w:val="16"/>
          <w:szCs w:val="16"/>
        </w:rPr>
        <w:t xml:space="preserve">адрес места размещения объекта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2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условиях, установленных аукционной документацией.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Настоящим Участник подтверждает соответствие   _________________________________________________________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</w:t>
      </w:r>
      <w:r>
        <w:rPr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</w:t>
        <w:br/>
        <w:t xml:space="preserve">                   (организационно-правовая форма, наименование Участника)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установленным аукционной  документацией обязательным требованиям к претендентам.</w:t>
        <w:br/>
        <w:t xml:space="preserve">Уведомляем, что_______________________________________________________________________________________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0"/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__________</w:t>
      </w:r>
      <w:r>
        <w:rPr>
          <w:sz w:val="20"/>
          <w:szCs w:val="20"/>
        </w:rPr>
        <w:t xml:space="preserve">___________________________________________________________________________________________</w:t>
        <w:br/>
        <w:t xml:space="preserve">(организационно-правовая форма, наименование Участника) не находится в процессе ликвидации, не признано несостоятельным (банкротом), деятельность не приостановлена.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0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4"/>
        <w:pBdr/>
        <w:spacing w:after="0" w:before="0"/>
        <w:ind w:firstLine="9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Обязуюсь соблюдать все условия, указанные в аукционной документации.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4"/>
        <w:pBdr/>
        <w:spacing w:after="0" w:before="0"/>
        <w:ind w:firstLine="9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случае признания победителем аукциона, обязуюсь заключить договор на </w:t>
      </w:r>
      <w:r>
        <w:rPr>
          <w:rStyle w:val="870"/>
          <w:b w:val="0"/>
          <w:bCs w:val="0"/>
          <w:sz w:val="20"/>
          <w:szCs w:val="20"/>
        </w:rPr>
        <w:t xml:space="preserve">размещение нестационарного торгового объекта на территории городского округа город Шарья </w:t>
      </w:r>
      <w:r>
        <w:rPr>
          <w:sz w:val="20"/>
          <w:szCs w:val="20"/>
        </w:rPr>
        <w:t xml:space="preserve">в установленный аукционной документацией срок.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4"/>
        <w:pBdr/>
        <w:spacing w:after="0" w:before="0"/>
        <w:ind w:firstLine="9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случае если победитель аукциона будет признан уклонившимся от заключения договора на </w:t>
      </w:r>
      <w:r>
        <w:rPr>
          <w:rStyle w:val="870"/>
          <w:b w:val="0"/>
          <w:bCs w:val="0"/>
          <w:sz w:val="20"/>
          <w:szCs w:val="20"/>
        </w:rPr>
        <w:t xml:space="preserve">размещение нестационарного торгового объекта на территории городского округа город Шарья</w:t>
      </w:r>
      <w:r>
        <w:rPr>
          <w:sz w:val="20"/>
          <w:szCs w:val="20"/>
        </w:rPr>
        <w:t xml:space="preserve">, а я стану Участником аукциона, который сделал предпоследнее предложение о цене права, обязуюсь заключить договор на </w:t>
      </w:r>
      <w:r>
        <w:rPr>
          <w:rStyle w:val="870"/>
          <w:b w:val="0"/>
          <w:bCs w:val="0"/>
          <w:sz w:val="20"/>
          <w:szCs w:val="20"/>
        </w:rPr>
        <w:t xml:space="preserve">размещение нестационарного торгового объекта на территории городского округа город Шарья</w:t>
      </w:r>
      <w:r>
        <w:rPr>
          <w:sz w:val="20"/>
          <w:szCs w:val="20"/>
        </w:rPr>
        <w:t xml:space="preserve"> по предложенной мной цене права на заключение договора на </w:t>
      </w:r>
      <w:r>
        <w:rPr>
          <w:rStyle w:val="870"/>
          <w:b w:val="0"/>
          <w:bCs w:val="0"/>
          <w:sz w:val="20"/>
          <w:szCs w:val="20"/>
        </w:rPr>
        <w:t xml:space="preserve">размещение нестационарного торгового объекта на территории городского округа город Шарья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4"/>
        <w:pBdr/>
        <w:spacing w:after="0" w:before="0"/>
        <w:ind w:firstLine="9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Банковские реквизиты для возврата задатка: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9360" w:type="dxa"/>
        <w:tblInd w:w="108" w:type="dxa"/>
        <w:tblBorders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518"/>
        <w:gridCol w:w="6841"/>
      </w:tblGrid>
      <w:tr>
        <w:trPr/>
        <w:tc>
          <w:tcPr>
            <w:tcBorders/>
            <w:tcW w:w="2518" w:type="dxa"/>
            <w:textDirection w:val="lrTb"/>
            <w:noWrap w:val="false"/>
          </w:tcPr>
          <w:p>
            <w:pPr>
              <w:pStyle w:val="915"/>
              <w:pBdr/>
              <w:spacing w:after="0" w:before="0"/>
              <w:ind w:firstLine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6841" w:type="dxa"/>
            <w:textDirection w:val="lrTb"/>
            <w:noWrap w:val="false"/>
          </w:tcPr>
          <w:p>
            <w:pPr>
              <w:pStyle w:val="915"/>
              <w:pBdr/>
              <w:spacing w:after="0" w:before="0"/>
              <w:ind w:firstLine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2518" w:type="dxa"/>
            <w:textDirection w:val="lrTb"/>
            <w:noWrap w:val="false"/>
          </w:tcPr>
          <w:p>
            <w:pPr>
              <w:pStyle w:val="915"/>
              <w:pBdr/>
              <w:spacing w:after="0" w:before="0"/>
              <w:ind w:firstLine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Расчётный счёт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841" w:type="dxa"/>
            <w:textDirection w:val="lrTb"/>
            <w:noWrap w:val="false"/>
          </w:tcPr>
          <w:p>
            <w:pPr>
              <w:pStyle w:val="915"/>
              <w:pBdr/>
              <w:spacing w:after="0" w:before="0"/>
              <w:ind w:firstLine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2518" w:type="dxa"/>
            <w:textDirection w:val="lrTb"/>
            <w:noWrap w:val="false"/>
          </w:tcPr>
          <w:p>
            <w:pPr>
              <w:pStyle w:val="915"/>
              <w:pBdr/>
              <w:spacing w:after="0" w:before="0"/>
              <w:ind w:firstLine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Корреспондентский счёт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841" w:type="dxa"/>
            <w:textDirection w:val="lrTb"/>
            <w:noWrap w:val="false"/>
          </w:tcPr>
          <w:p>
            <w:pPr>
              <w:pStyle w:val="915"/>
              <w:pBdr/>
              <w:spacing w:after="0" w:before="0"/>
              <w:ind w:firstLine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2518" w:type="dxa"/>
            <w:textDirection w:val="lrTb"/>
            <w:noWrap w:val="false"/>
          </w:tcPr>
          <w:p>
            <w:pPr>
              <w:pStyle w:val="915"/>
              <w:pBdr/>
              <w:spacing w:after="0" w:before="0"/>
              <w:ind w:firstLine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841" w:type="dxa"/>
            <w:textDirection w:val="lrTb"/>
            <w:noWrap w:val="false"/>
          </w:tcPr>
          <w:p>
            <w:pPr>
              <w:pStyle w:val="915"/>
              <w:pBdr/>
              <w:spacing w:after="0" w:before="0"/>
              <w:ind w:firstLine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2518" w:type="dxa"/>
            <w:textDirection w:val="lrTb"/>
            <w:noWrap w:val="false"/>
          </w:tcPr>
          <w:p>
            <w:pPr>
              <w:pStyle w:val="915"/>
              <w:pBdr/>
              <w:spacing w:after="0" w:before="0"/>
              <w:ind w:firstLine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Лицевой счёт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841" w:type="dxa"/>
            <w:textDirection w:val="lrTb"/>
            <w:noWrap w:val="false"/>
          </w:tcPr>
          <w:p>
            <w:pPr>
              <w:pStyle w:val="915"/>
              <w:pBdr/>
              <w:spacing w:after="0" w:before="0"/>
              <w:ind w:firstLine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/>
            <w:tcW w:w="2518" w:type="dxa"/>
            <w:textDirection w:val="lrTb"/>
            <w:noWrap w:val="false"/>
          </w:tcPr>
          <w:p>
            <w:pPr>
              <w:pStyle w:val="915"/>
              <w:pBdr/>
              <w:spacing w:after="0" w:before="0"/>
              <w:ind w:firstLine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 И. О. (наименование) получателя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841" w:type="dxa"/>
            <w:textDirection w:val="lrTb"/>
            <w:noWrap w:val="false"/>
          </w:tcPr>
          <w:p>
            <w:pPr>
              <w:pStyle w:val="915"/>
              <w:pBdr/>
              <w:spacing w:after="0" w:before="0"/>
              <w:ind w:firstLine="0"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14"/>
        <w:pBdr/>
        <w:spacing w:after="0" w:before="0"/>
        <w:ind w:firstLine="9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 целью организации и проведения аукциона на право заключения договора на размещение нестационарного торгового объекта на территории городского округа  город Шарья, в соответствии с Федеральным законом от</w:t>
      </w:r>
      <w:r>
        <w:rPr>
          <w:sz w:val="20"/>
          <w:szCs w:val="20"/>
        </w:rPr>
        <w:t xml:space="preserve"> 27 июля 2006 года № 152-ФЗ «О персональных данных» настоящей заявкой даю Уполномоченному органу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</w:t>
      </w:r>
      <w:r>
        <w:rPr>
          <w:sz w:val="20"/>
          <w:szCs w:val="20"/>
        </w:rPr>
        <w:t xml:space="preserve">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</w:t>
      </w:r>
      <w:r>
        <w:rPr>
          <w:sz w:val="20"/>
          <w:szCs w:val="20"/>
        </w:rPr>
        <w:t xml:space="preserve">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0"/>
        <w:pBdr/>
        <w:spacing/>
        <w:ind/>
        <w:jc w:val="lef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   _______________________ _____________________________                                    (подпись)                                                         (расшифровка подписи)       (должность руководителя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0"/>
        <w:pBdr/>
        <w:spacing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М.П.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0"/>
        <w:pBdr/>
        <w:spacing/>
        <w:ind/>
        <w:rPr>
          <w:rStyle w:val="870"/>
          <w:sz w:val="20"/>
          <w:szCs w:val="20"/>
          <w:highlight w:val="none"/>
        </w:rPr>
      </w:pPr>
      <w:r>
        <w:rPr>
          <w:sz w:val="20"/>
          <w:szCs w:val="20"/>
        </w:rPr>
        <w:t xml:space="preserve"> </w:t>
      </w:r>
      <w:r>
        <w:rPr>
          <w:rStyle w:val="870"/>
          <w:sz w:val="20"/>
          <w:szCs w:val="20"/>
          <w:highlight w:val="none"/>
        </w:rPr>
      </w:r>
      <w:r>
        <w:rPr>
          <w:rStyle w:val="870"/>
          <w:sz w:val="20"/>
          <w:szCs w:val="20"/>
          <w:highlight w:val="none"/>
        </w:rPr>
      </w:r>
    </w:p>
    <w:p>
      <w:pPr>
        <w:pBdr/>
        <w:spacing/>
        <w:ind/>
        <w:rPr>
          <w:rStyle w:val="870"/>
          <w:sz w:val="20"/>
          <w:szCs w:val="20"/>
        </w:rPr>
      </w:pP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Bdr/>
        <w:spacing/>
        <w:ind/>
        <w:rPr>
          <w:rStyle w:val="870"/>
          <w:sz w:val="20"/>
          <w:szCs w:val="20"/>
        </w:rPr>
      </w:pP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Bdr/>
        <w:spacing/>
        <w:ind/>
        <w:rPr>
          <w:rStyle w:val="870"/>
          <w:sz w:val="20"/>
          <w:szCs w:val="20"/>
        </w:rPr>
      </w:pPr>
      <w:r>
        <w:rPr>
          <w:rStyle w:val="870"/>
          <w:sz w:val="20"/>
          <w:szCs w:val="20"/>
          <w:highlight w:val="none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/>
        <w:jc w:val="right"/>
        <w:rPr>
          <w:rStyle w:val="870"/>
          <w:b w:val="0"/>
        </w:rPr>
      </w:pPr>
      <w:r>
        <w:rPr>
          <w:rStyle w:val="870"/>
          <w:b w:val="0"/>
        </w:rPr>
        <w:t xml:space="preserve">Приложение № 2</w:t>
      </w:r>
      <w:r>
        <w:rPr>
          <w:rStyle w:val="870"/>
          <w:b w:val="0"/>
        </w:rPr>
      </w:r>
      <w:r>
        <w:rPr>
          <w:rStyle w:val="870"/>
          <w:b w:val="0"/>
        </w:rPr>
      </w:r>
    </w:p>
    <w:p>
      <w:pPr>
        <w:pStyle w:val="820"/>
        <w:pBdr/>
        <w:spacing/>
        <w:ind/>
        <w:jc w:val="right"/>
        <w:rPr>
          <w:rStyle w:val="870"/>
          <w:b w:val="0"/>
        </w:rPr>
      </w:pPr>
      <w:r>
        <w:rPr>
          <w:rStyle w:val="870"/>
          <w:b w:val="0"/>
        </w:rPr>
        <w:t xml:space="preserve">к аукционной документации</w:t>
      </w:r>
      <w:r>
        <w:rPr>
          <w:rStyle w:val="870"/>
          <w:b w:val="0"/>
        </w:rPr>
      </w:r>
      <w:r>
        <w:rPr>
          <w:rStyle w:val="870"/>
          <w:b w:val="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/>
        <w:rPr>
          <w:color w:val="000000"/>
        </w:rPr>
      </w:pPr>
      <w:r>
        <w:rPr>
          <w:b/>
          <w:bCs/>
          <w:color w:val="000000"/>
        </w:rPr>
        <w:t xml:space="preserve">Форма заявления об отсутствии ликвидации юридического лица</w:t>
      </w:r>
      <w:r>
        <w:rPr>
          <w:color w:val="000000"/>
        </w:rPr>
      </w:r>
      <w:r>
        <w:rPr>
          <w:color w:val="000000"/>
        </w:rPr>
      </w:r>
    </w:p>
    <w:p>
      <w:pPr>
        <w:pStyle w:val="820"/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20"/>
        <w:pBdr/>
        <w:tabs>
          <w:tab w:val="clear" w:leader="none" w:pos="709"/>
          <w:tab w:val="left" w:leader="none" w:pos="1134"/>
          <w:tab w:val="left" w:leader="none" w:pos="1418"/>
        </w:tabs>
        <w:spacing/>
        <w:ind/>
        <w:jc w:val="right"/>
        <w:rPr/>
      </w:pPr>
      <w:r/>
      <w:r/>
    </w:p>
    <w:p>
      <w:pPr>
        <w:pStyle w:val="820"/>
        <w:pBdr/>
        <w:spacing/>
        <w:ind w:firstLine="708" w:left="3540"/>
        <w:jc w:val="right"/>
        <w:rPr>
          <w:bCs/>
        </w:rPr>
      </w:pPr>
      <w:r>
        <w:rPr>
          <w:bCs/>
        </w:rPr>
        <w:t xml:space="preserve">Администрация городского округа город Шарья</w:t>
      </w:r>
      <w:r>
        <w:rPr>
          <w:bCs/>
        </w:rPr>
      </w:r>
      <w:r>
        <w:rPr>
          <w:bCs/>
        </w:rPr>
      </w:r>
    </w:p>
    <w:p>
      <w:pPr>
        <w:pStyle w:val="820"/>
        <w:pBdr/>
        <w:spacing/>
        <w:ind w:firstLine="708" w:left="3540"/>
        <w:jc w:val="right"/>
        <w:rPr/>
      </w:pPr>
      <w:r>
        <w:t xml:space="preserve">от _________________________________</w:t>
      </w:r>
      <w:r/>
    </w:p>
    <w:p>
      <w:pPr>
        <w:pStyle w:val="820"/>
        <w:pBdr/>
        <w:spacing/>
        <w:ind w:firstLine="0" w:left="4248"/>
        <w:jc w:val="right"/>
        <w:rPr>
          <w:sz w:val="20"/>
          <w:szCs w:val="20"/>
        </w:rPr>
      </w:pPr>
      <w:r>
        <w:t xml:space="preserve">                        </w:t>
      </w:r>
      <w:r>
        <w:rPr>
          <w:sz w:val="20"/>
          <w:szCs w:val="20"/>
        </w:rPr>
        <w:t xml:space="preserve">(название юридического лица)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0"/>
        <w:pBdr/>
        <w:tabs>
          <w:tab w:val="clear" w:leader="none" w:pos="709"/>
          <w:tab w:val="left" w:leader="none" w:pos="1134"/>
          <w:tab w:val="left" w:leader="none" w:pos="1418"/>
        </w:tabs>
        <w:spacing/>
        <w:ind/>
        <w:jc w:val="right"/>
        <w:rPr/>
      </w:pPr>
      <w:r>
        <w:t xml:space="preserve">_________________________________</w:t>
      </w:r>
      <w:r/>
    </w:p>
    <w:p>
      <w:pPr>
        <w:pStyle w:val="820"/>
        <w:pBdr/>
        <w:spacing/>
        <w:ind w:firstLine="225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(адрес место нахождения)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820"/>
        <w:pBdr/>
        <w:spacing/>
        <w:ind/>
        <w:jc w:val="righ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20"/>
        <w:pBdr/>
        <w:spacing/>
        <w:ind w:firstLine="225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820"/>
        <w:pBdr/>
        <w:spacing/>
        <w:ind w:firstLine="225"/>
        <w:rPr>
          <w:color w:val="000000"/>
        </w:rPr>
      </w:pPr>
      <w:r>
        <w:rPr>
          <w:b/>
          <w:bCs/>
          <w:color w:val="000000"/>
        </w:rPr>
        <w:t xml:space="preserve">Заявление</w:t>
      </w:r>
      <w:r>
        <w:rPr>
          <w:color w:val="000000"/>
        </w:rPr>
        <w:t xml:space="preserve"> </w:t>
      </w:r>
      <w:r>
        <w:rPr>
          <w:color w:val="000000"/>
        </w:rPr>
      </w:r>
      <w:r>
        <w:rPr>
          <w:color w:val="000000"/>
        </w:rPr>
      </w:r>
    </w:p>
    <w:p>
      <w:pPr>
        <w:pStyle w:val="820"/>
        <w:pBdr/>
        <w:spacing/>
        <w:ind w:firstLine="225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20"/>
        <w:pBdr/>
        <w:spacing/>
        <w:ind w:firstLine="225"/>
        <w:jc w:val="both"/>
        <w:rPr>
          <w:color w:val="000000"/>
        </w:rPr>
      </w:pPr>
      <w:r>
        <w:rPr>
          <w:color w:val="000000"/>
        </w:rPr>
        <w:t xml:space="preserve">Сообщаю об отсутствии решения о ликвидации, об отсутствии решения арбитражного суда о признании _____________________________________________________________________ </w:t>
      </w:r>
      <w:r>
        <w:rPr>
          <w:color w:val="000000"/>
        </w:rPr>
      </w:r>
      <w:r>
        <w:rPr>
          <w:color w:val="000000"/>
        </w:rPr>
      </w:r>
    </w:p>
    <w:p>
      <w:pPr>
        <w:pStyle w:val="820"/>
        <w:pBdr/>
        <w:spacing/>
        <w:ind w:firstLine="2160"/>
        <w:rPr>
          <w:color w:val="000000"/>
        </w:rPr>
      </w:pPr>
      <w:r>
        <w:rPr>
          <w:color w:val="000000"/>
        </w:rPr>
        <w:t xml:space="preserve">(наименование юридического лица)</w:t>
      </w:r>
      <w:r>
        <w:rPr>
          <w:color w:val="000000"/>
        </w:rPr>
      </w:r>
      <w:r>
        <w:rPr>
          <w:color w:val="000000"/>
        </w:rPr>
      </w:r>
    </w:p>
    <w:p>
      <w:pPr>
        <w:pStyle w:val="820"/>
        <w:pBdr/>
        <w:spacing/>
        <w:ind/>
        <w:jc w:val="both"/>
        <w:rPr>
          <w:color w:val="000000"/>
        </w:rPr>
      </w:pPr>
      <w:r>
        <w:rPr>
          <w:color w:val="000000"/>
        </w:rPr>
        <w:t xml:space="preserve">банкротом и об открытии конкурсного производства, об отсутствии решения о приостановлении деятельности в порядке, предусмотренном Кодексом Российской Федерации об административных правонарушениях.</w:t>
      </w:r>
      <w:r>
        <w:rPr>
          <w:color w:val="000000"/>
        </w:rPr>
      </w:r>
      <w:r>
        <w:rPr>
          <w:color w:val="000000"/>
        </w:rPr>
      </w:r>
    </w:p>
    <w:p>
      <w:pPr>
        <w:pStyle w:val="820"/>
        <w:pBdr/>
        <w:spacing/>
        <w:ind w:firstLine="2160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20"/>
        <w:pBdr/>
        <w:spacing/>
        <w:ind w:firstLine="2160"/>
        <w:jc w:val="right"/>
        <w:rPr>
          <w:color w:val="000000"/>
        </w:rPr>
      </w:pPr>
      <w:r>
        <w:rPr>
          <w:color w:val="000000"/>
        </w:rPr>
        <w:t xml:space="preserve">_______________ /_________________</w:t>
      </w:r>
      <w:r>
        <w:rPr>
          <w:color w:val="000000"/>
        </w:rPr>
      </w:r>
      <w:r>
        <w:rPr>
          <w:color w:val="000000"/>
        </w:rPr>
      </w:r>
    </w:p>
    <w:p>
      <w:pPr>
        <w:pStyle w:val="820"/>
        <w:pBdr/>
        <w:spacing/>
        <w:ind w:firstLine="2160"/>
        <w:jc w:val="right"/>
        <w:rPr>
          <w:color w:val="000000"/>
        </w:rPr>
      </w:pPr>
      <w:r>
        <w:rPr>
          <w:color w:val="000000"/>
        </w:rPr>
        <w:t xml:space="preserve">подпись Ф.И.О.</w:t>
      </w:r>
      <w:r>
        <w:rPr>
          <w:color w:val="000000"/>
        </w:rPr>
      </w:r>
      <w:r>
        <w:rPr>
          <w:color w:val="000000"/>
        </w:rPr>
      </w:r>
    </w:p>
    <w:p>
      <w:pPr>
        <w:pStyle w:val="820"/>
        <w:pBdr/>
        <w:spacing/>
        <w:ind w:firstLine="2160"/>
        <w:jc w:val="right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20"/>
        <w:pBdr/>
        <w:spacing/>
        <w:ind w:firstLine="2160"/>
        <w:jc w:val="right"/>
        <w:rPr>
          <w:color w:val="000000"/>
        </w:rPr>
      </w:pPr>
      <w:r>
        <w:rPr>
          <w:color w:val="000000"/>
        </w:rPr>
        <w:t xml:space="preserve">Дата_____________________________</w:t>
      </w:r>
      <w:r>
        <w:rPr>
          <w:color w:val="000000"/>
        </w:rPr>
      </w:r>
      <w:r>
        <w:rPr>
          <w:color w:val="000000"/>
        </w:rPr>
      </w:r>
    </w:p>
    <w:p>
      <w:pPr>
        <w:pStyle w:val="820"/>
        <w:pBdr/>
        <w:spacing/>
        <w:ind w:firstLine="216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820"/>
        <w:widowControl w:val="false"/>
        <w:pBdr/>
        <w:tabs>
          <w:tab w:val="clear" w:leader="none" w:pos="709"/>
          <w:tab w:val="left" w:leader="none" w:pos="1134"/>
        </w:tabs>
        <w:spacing/>
        <w:ind w:firstLine="720"/>
        <w:jc w:val="right"/>
        <w:rPr/>
      </w:pPr>
      <w:r>
        <w:t xml:space="preserve">МП</w:t>
      </w:r>
      <w:r/>
    </w:p>
    <w:p>
      <w:pPr>
        <w:pStyle w:val="820"/>
        <w:widowControl w:val="false"/>
        <w:pBdr/>
        <w:tabs>
          <w:tab w:val="clear" w:leader="none" w:pos="709"/>
          <w:tab w:val="left" w:leader="none" w:pos="1134"/>
        </w:tabs>
        <w:spacing/>
        <w:ind w:firstLine="720"/>
        <w:jc w:val="right"/>
        <w:rPr/>
      </w:pPr>
      <w:r/>
      <w:r/>
    </w:p>
    <w:p>
      <w:pPr>
        <w:pStyle w:val="820"/>
        <w:widowControl w:val="false"/>
        <w:pBdr/>
        <w:tabs>
          <w:tab w:val="clear" w:leader="none" w:pos="709"/>
          <w:tab w:val="left" w:leader="none" w:pos="1134"/>
        </w:tabs>
        <w:spacing/>
        <w:ind w:firstLine="720"/>
        <w:rPr/>
      </w:pPr>
      <w:r/>
      <w:r/>
    </w:p>
    <w:p>
      <w:pPr>
        <w:pStyle w:val="820"/>
        <w:widowControl w:val="false"/>
        <w:pBdr/>
        <w:tabs>
          <w:tab w:val="clear" w:leader="none" w:pos="709"/>
          <w:tab w:val="left" w:leader="none" w:pos="1134"/>
        </w:tabs>
        <w:spacing/>
        <w:ind w:firstLine="720"/>
        <w:rPr/>
      </w:pPr>
      <w:r/>
      <w:r/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708" w:left="2832"/>
        <w:jc w:val="right"/>
        <w:rPr>
          <w:rStyle w:val="870"/>
          <w:sz w:val="20"/>
          <w:szCs w:val="20"/>
        </w:rPr>
      </w:pPr>
      <w:r>
        <w:rPr>
          <w:sz w:val="20"/>
          <w:szCs w:val="20"/>
        </w:rPr>
      </w:r>
      <w:r>
        <w:rPr>
          <w:rStyle w:val="870"/>
          <w:sz w:val="20"/>
          <w:szCs w:val="20"/>
        </w:rPr>
      </w:r>
      <w:r>
        <w:rPr>
          <w:rStyle w:val="870"/>
          <w:sz w:val="20"/>
          <w:szCs w:val="20"/>
        </w:rPr>
      </w:r>
    </w:p>
    <w:p>
      <w:pPr>
        <w:pStyle w:val="820"/>
        <w:pBdr/>
        <w:spacing/>
        <w:ind w:firstLine="0" w:left="2832"/>
        <w:jc w:val="right"/>
        <w:rPr/>
      </w:pPr>
      <w:r/>
      <w:r/>
    </w:p>
    <w:p>
      <w:pPr>
        <w:pStyle w:val="820"/>
        <w:pBdr/>
        <w:spacing/>
        <w:ind w:firstLine="0" w:left="2832"/>
        <w:jc w:val="right"/>
        <w:rPr/>
      </w:pPr>
      <w:r/>
      <w:r/>
    </w:p>
    <w:p>
      <w:pPr>
        <w:pStyle w:val="821"/>
        <w:pBdr/>
        <w:spacing w:after="0" w:before="0"/>
        <w:ind w:firstLine="0" w:left="354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Приложение № 3 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21"/>
        <w:pBdr/>
        <w:spacing w:after="0" w:before="0"/>
        <w:ind w:firstLine="0" w:left="354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к аукционной документации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18"/>
        <w:widowControl w:val="true"/>
        <w:pBdr/>
        <w:tabs>
          <w:tab w:val="clear" w:leader="none" w:pos="709"/>
          <w:tab w:val="left" w:leader="none" w:pos="2127"/>
        </w:tabs>
        <w:spacing/>
        <w:ind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</w:p>
    <w:p>
      <w:pPr>
        <w:pStyle w:val="918"/>
        <w:widowControl w:val="true"/>
        <w:pBdr/>
        <w:tabs>
          <w:tab w:val="clear" w:leader="none" w:pos="709"/>
          <w:tab w:val="left" w:leader="none" w:pos="2127"/>
        </w:tabs>
        <w:spacing/>
        <w:ind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</w:r>
    </w:p>
    <w:p>
      <w:pPr>
        <w:pStyle w:val="821"/>
        <w:pBdr/>
        <w:spacing w:after="0" w:before="0"/>
        <w:ind w:firstLine="0" w:left="35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8"/>
        <w:widowControl w:val="true"/>
        <w:pBdr/>
        <w:spacing/>
        <w:ind/>
        <w:jc w:val="center"/>
        <w:rPr/>
      </w:pPr>
      <w:r>
        <w:t xml:space="preserve">ПРОЕКТ ДОГОВОРА</w:t>
      </w:r>
      <w:r/>
    </w:p>
    <w:p>
      <w:pPr>
        <w:pStyle w:val="918"/>
        <w:widowControl w:val="true"/>
        <w:pBdr/>
        <w:spacing/>
        <w:ind/>
        <w:jc w:val="center"/>
        <w:rPr/>
      </w:pPr>
      <w:r>
        <w:t xml:space="preserve">НА РАЗМЕЩЕНИЕ НЕСТАЦИОНАРНОГО ТОРГОВОГО ОБЪЕКТА</w:t>
      </w:r>
      <w:r/>
    </w:p>
    <w:p>
      <w:pPr>
        <w:pStyle w:val="918"/>
        <w:widowControl w:val="true"/>
        <w:pBdr/>
        <w:spacing/>
        <w:ind/>
        <w:jc w:val="center"/>
        <w:rPr/>
      </w:pPr>
      <w:r/>
      <w:r/>
    </w:p>
    <w:p>
      <w:pPr>
        <w:pStyle w:val="820"/>
        <w:pBdr/>
        <w:spacing/>
        <w:ind w:firstLine="540"/>
        <w:jc w:val="both"/>
        <w:rPr/>
      </w:pPr>
      <w:r>
        <w:t xml:space="preserve">г. Шарья    «__»__________ 20__ года </w:t>
        <w:br/>
        <w:br/>
        <w:t xml:space="preserve">        Администрация городского округа город Шарья в лице Главы городского округа город Шарья ______________________, действующая  на основании Устава Муници</w:t>
      </w:r>
      <w:r>
        <w:t xml:space="preserve">пального образования городской округ город Шарья Костромской области, именуемая в дальнейшем «Администрация», с одной стороны, и предприятие (индивидуальный предприниматель) __________________________________________________________________________________</w:t>
      </w:r>
      <w:r/>
    </w:p>
    <w:p>
      <w:pPr>
        <w:pStyle w:val="820"/>
        <w:pBdr/>
        <w:spacing/>
        <w:ind/>
        <w:jc w:val="both"/>
        <w:rPr/>
      </w:pPr>
      <w:r>
        <w:t xml:space="preserve">именуемое в дальнейшем «Предприятие (индивидуальный предприниматель)», с другой стороны, заключили настоящий договор о нижеследующем:</w:t>
      </w:r>
      <w:r/>
    </w:p>
    <w:p>
      <w:pPr>
        <w:pStyle w:val="820"/>
        <w:pBdr/>
        <w:spacing/>
        <w:ind/>
        <w:jc w:val="both"/>
        <w:rPr/>
      </w:pPr>
      <w:r/>
      <w:r/>
    </w:p>
    <w:p>
      <w:pPr>
        <w:pStyle w:val="820"/>
        <w:numPr>
          <w:ilvl w:val="0"/>
          <w:numId w:val="0"/>
        </w:numPr>
        <w:pBdr/>
        <w:spacing/>
        <w:ind w:firstLine="540" w:left="0"/>
        <w:outlineLvl w:val="1"/>
        <w:rPr/>
      </w:pPr>
      <w:r>
        <w:t xml:space="preserve">1. Предмет и условия договора</w:t>
      </w:r>
      <w:r/>
    </w:p>
    <w:p>
      <w:pPr>
        <w:pStyle w:val="820"/>
        <w:numPr>
          <w:ilvl w:val="0"/>
          <w:numId w:val="0"/>
        </w:numPr>
        <w:pBdr/>
        <w:spacing/>
        <w:ind w:firstLine="540" w:left="0"/>
        <w:jc w:val="both"/>
        <w:outlineLvl w:val="1"/>
        <w:rPr/>
      </w:pPr>
      <w:r>
        <w:t xml:space="preserve">1.1. «Администрация» предоставляет право на размещение нестационарного торгового объекта (тип)_____________, далее – Объект, на основании решения Комиссии по</w:t>
      </w:r>
      <w:r>
        <w:rPr>
          <w:rFonts w:ascii="Arial" w:hAnsi="Arial" w:cs="Arial"/>
          <w:color w:val="2d3038"/>
          <w:sz w:val="23"/>
          <w:szCs w:val="23"/>
        </w:rPr>
        <w:t xml:space="preserve"> </w:t>
      </w:r>
      <w:r>
        <w:t xml:space="preserve">проведению торгов на право заключения договора на размещение нестационар</w:t>
      </w:r>
      <w:r>
        <w:t xml:space="preserve">ного торгового объекта на территории городского округа город Шарья, а «Предприятие (индивидуальный предприниматель)» размещает Объект на площади_______кв. м, расположенный по адресу: ___________________________________ в соответствии с утвержденной схемой.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1.2. «Предприятие (индивидуальный предприниматель)» использует Объект для осуществления вида деятельности: __________________________________________________</w:t>
      </w:r>
      <w:r/>
    </w:p>
    <w:p>
      <w:pPr>
        <w:pStyle w:val="820"/>
        <w:numPr>
          <w:ilvl w:val="0"/>
          <w:numId w:val="0"/>
        </w:numPr>
        <w:pBdr/>
        <w:spacing/>
        <w:ind w:firstLine="0" w:left="0"/>
        <w:jc w:val="both"/>
        <w:outlineLvl w:val="1"/>
        <w:rPr/>
      </w:pPr>
      <w:r>
        <w:t xml:space="preserve">Ассортимент:_____________________________________________________________________</w:t>
      </w:r>
      <w:r/>
    </w:p>
    <w:p>
      <w:pPr>
        <w:pStyle w:val="820"/>
        <w:numPr>
          <w:ilvl w:val="0"/>
          <w:numId w:val="0"/>
        </w:numPr>
        <w:pBdr/>
        <w:spacing/>
        <w:ind w:firstLine="570" w:left="0"/>
        <w:jc w:val="both"/>
        <w:outlineLvl w:val="1"/>
        <w:rPr/>
      </w:pPr>
      <w:r>
        <w:t xml:space="preserve">1.3.  «Предприятие (индивидуальный предприниматель)» использует для целей осуществления торговой деятельности только сертифицированное специализированное оборудование, снабженное вывеской, единообразными ценниками.</w:t>
      </w:r>
      <w:r/>
    </w:p>
    <w:p>
      <w:pPr>
        <w:pStyle w:val="820"/>
        <w:pBdr/>
        <w:spacing/>
        <w:ind/>
        <w:jc w:val="both"/>
        <w:rPr/>
      </w:pPr>
      <w:r>
        <w:t xml:space="preserve">         </w:t>
      </w:r>
      <w:r>
        <w:t xml:space="preserve">1.4.  Настоящий договор заключен в соответствии с Порядком размещения нестационарных торговых объектов на территории городского округа город Шарья, утвержденным постановлением «Администрации» от __________№ ________:</w:t>
      </w:r>
      <w:r/>
    </w:p>
    <w:p>
      <w:pPr>
        <w:pStyle w:val="820"/>
        <w:pBdr/>
        <w:spacing/>
        <w:ind/>
        <w:jc w:val="both"/>
        <w:rPr/>
      </w:pPr>
      <w:r>
        <w:t xml:space="preserve">а) по результатам аукциона на право заключения договора на размещение нестационарного торгового объекта на основании протокола аукциона от ___________ № _____;</w:t>
      </w:r>
      <w:r/>
    </w:p>
    <w:p>
      <w:pPr>
        <w:pStyle w:val="820"/>
        <w:pBdr/>
        <w:spacing/>
        <w:ind/>
        <w:jc w:val="both"/>
        <w:rPr/>
      </w:pPr>
      <w:r>
        <w:t xml:space="preserve">б) в порядке преи</w:t>
      </w:r>
      <w:r>
        <w:t xml:space="preserve">мущественного права на заключение договоров на размещение нестационарных торговых объектов без проведения торгов на основании решения комиссии по размещению нестационарных торговых объектов на территории городского округа город Шарья от _________ № ______.</w:t>
      </w:r>
      <w:r/>
    </w:p>
    <w:p>
      <w:pPr>
        <w:pStyle w:val="820"/>
        <w:pBdr/>
        <w:spacing/>
        <w:ind/>
        <w:jc w:val="both"/>
        <w:rPr/>
      </w:pPr>
      <w:r>
        <w:t xml:space="preserve">          </w:t>
      </w:r>
      <w:r>
        <w:t xml:space="preserve">1.5. Размещение и организация торговой деятельности «Предприятия (инд</w:t>
      </w:r>
      <w:r>
        <w:t xml:space="preserve">ивидуальный предприниматель)» нестационарного торгового объекта осуществляется в соответствии с требованиями федерального законодательства, законодательства Костромской области, законодательства Администрации, аукционной документации и настоящего Договора.</w:t>
      </w:r>
      <w:r/>
    </w:p>
    <w:p>
      <w:pPr>
        <w:pStyle w:val="820"/>
        <w:numPr>
          <w:ilvl w:val="0"/>
          <w:numId w:val="0"/>
        </w:numPr>
        <w:pBdr/>
        <w:spacing/>
        <w:ind w:firstLine="540" w:left="0"/>
        <w:jc w:val="both"/>
        <w:outlineLvl w:val="1"/>
        <w:rPr/>
      </w:pPr>
      <w:r/>
      <w:r/>
    </w:p>
    <w:p>
      <w:pPr>
        <w:pStyle w:val="820"/>
        <w:numPr>
          <w:ilvl w:val="0"/>
          <w:numId w:val="0"/>
        </w:numPr>
        <w:pBdr/>
        <w:spacing/>
        <w:ind w:firstLine="540" w:left="0"/>
        <w:outlineLvl w:val="1"/>
        <w:rPr/>
      </w:pPr>
      <w:r>
        <w:t xml:space="preserve">2. Срок действия договора и плата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2.1. Размер платы по договору определен: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а) по результатам аукциона на право заключения договора для размещения нестационарного торгового объекта (протокол аукциона от ________№ _______) и составляет _</w:t>
      </w:r>
      <w:r>
        <w:t xml:space="preserve">_________________ (_______________) рублей. Размер платы на текущий год начисляется с даты проведения аукциона. Задаток, внесенный «Предприятием (индивидуальным предпринимателем)» в сумме _________ (________) руб., засчитывается в сумму оплаты по договору.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б) по цене, равной начальной (минимальной) цене договора на размещение нестационарного торгового объекта в соответствии с</w:t>
      </w:r>
      <w:r>
        <w:t xml:space="preserve"> Правилами определения начальной (минимальной) цены договора утвержденными постановлением «Администрации» от _________ №______, в порядке преимущественного права на заключение договора для размещения нестационарного торгового объекта без проведения торгов.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Размер платы за текущий год начисляется с даты заключения договора на размещение нестационарного торгового объекта.</w:t>
      </w:r>
      <w:r/>
    </w:p>
    <w:p>
      <w:pPr>
        <w:pStyle w:val="820"/>
        <w:pBdr/>
        <w:spacing/>
        <w:ind w:firstLine="570"/>
        <w:jc w:val="both"/>
        <w:rPr/>
      </w:pPr>
      <w:r>
        <w:t xml:space="preserve">2.2. Размер платы по договору на каждый последующий год определяется в соответствии с Правилами определения начальной (минимальной) цены договора утвержденными постановлением «Администрации» от _________ №______.</w:t>
      </w:r>
      <w:r/>
    </w:p>
    <w:p>
      <w:pPr>
        <w:pStyle w:val="820"/>
        <w:pBdr/>
        <w:spacing/>
        <w:ind w:firstLine="570"/>
        <w:jc w:val="both"/>
        <w:rPr/>
      </w:pPr>
      <w:r>
        <w:t xml:space="preserve">2.3. Начиная с года, следующего за годом заключения договора, платежи осуществляются равными долями ежеквартально, до 15 числа первого месяца текущего квартала.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2.4. Платеж по настоящему договору в сумме _________ (________) рублей вносится «Предприятием (индивидуальным предпринимателем)» по следующим реквизитам:  </w:t>
      </w:r>
      <w:r/>
    </w:p>
    <w:p>
      <w:pPr>
        <w:pStyle w:val="820"/>
        <w:pBdr/>
        <w:spacing/>
        <w:ind w:firstLine="570"/>
        <w:jc w:val="both"/>
        <w:rPr>
          <w:b/>
        </w:rPr>
      </w:pPr>
      <w:r>
        <w:rPr>
          <w:b/>
        </w:rPr>
        <w:t xml:space="preserve">Получатель – ОТДЕЛЕНИЕ КОСТРОМА БАНКА РОССИИ//УФК по Костромской области г. Кострома «Получатель» -(Администрация городского округа город </w:t>
      </w:r>
      <w:r>
        <w:rPr>
          <w:b/>
        </w:rPr>
        <w:t xml:space="preserve">Шарья Костромской области, л/с 04413009430), ИНН/КПП 4407002295/440701001, к/с 03100643000000014100; БИК 013469126; ОКТМО: 34730000; КБК 901 111 09080 04 0000120, Доходы от платы за размещение нестационарных торговых объектов; ОГРН 1024402034095.</w:t>
      </w:r>
      <w:r>
        <w:rPr>
          <w:b/>
        </w:rPr>
      </w:r>
      <w:r>
        <w:rPr>
          <w:b/>
        </w:rPr>
      </w:r>
    </w:p>
    <w:p>
      <w:pPr>
        <w:pStyle w:val="820"/>
        <w:pBdr/>
        <w:spacing/>
        <w:ind w:firstLine="570"/>
        <w:jc w:val="both"/>
        <w:rPr/>
      </w:pPr>
      <w:r>
        <w:t xml:space="preserve">2.5. Оплата договора при размещении передвижных нестационарных объектов производится единовременно не позднее 5 (пяти) рабочих дней с даты заключения договора.</w:t>
      </w:r>
      <w:r/>
    </w:p>
    <w:p>
      <w:pPr>
        <w:pStyle w:val="820"/>
        <w:pBdr/>
        <w:spacing/>
        <w:ind w:firstLine="570"/>
        <w:jc w:val="both"/>
        <w:rPr/>
      </w:pPr>
      <w:r>
        <w:t xml:space="preserve">2.6. Подтверждением исполнения обязательства «Предприятия (индивидуального предпринимателя)» по внесению платы по настоящему Договору является платежный документ с отметкой банка плательщика об исполнении, представленный Администрации.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2.7.  Настоящий договор действителен с «__» ___________ 20__ года 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по «__» ___________ 20__ года.</w:t>
      </w:r>
      <w:r/>
    </w:p>
    <w:p>
      <w:pPr>
        <w:pStyle w:val="820"/>
        <w:numPr>
          <w:ilvl w:val="0"/>
          <w:numId w:val="0"/>
        </w:numPr>
        <w:pBdr/>
        <w:spacing/>
        <w:ind w:firstLine="540" w:left="0"/>
        <w:jc w:val="both"/>
        <w:outlineLvl w:val="1"/>
        <w:rPr/>
      </w:pPr>
      <w:r/>
      <w:r/>
    </w:p>
    <w:p>
      <w:pPr>
        <w:pStyle w:val="820"/>
        <w:pBdr/>
        <w:spacing/>
        <w:ind/>
        <w:rPr>
          <w:bCs/>
          <w:color w:val="000000"/>
        </w:rPr>
      </w:pPr>
      <w:r>
        <w:rPr>
          <w:bCs/>
          <w:color w:val="000000"/>
        </w:rPr>
        <w:t xml:space="preserve">3.  Права и обязанности администрации</w:t>
      </w:r>
      <w:r>
        <w:rPr>
          <w:bCs/>
          <w:color w:val="000000"/>
        </w:rPr>
      </w:r>
      <w:r>
        <w:rPr>
          <w:bCs/>
          <w:color w:val="000000"/>
        </w:rPr>
      </w:r>
    </w:p>
    <w:p>
      <w:pPr>
        <w:pStyle w:val="820"/>
        <w:pBdr/>
        <w:spacing/>
        <w:ind/>
        <w:jc w:val="both"/>
        <w:rPr/>
      </w:pPr>
      <w:r>
        <w:t xml:space="preserve">   </w:t>
      </w:r>
      <w:r>
        <w:t xml:space="preserve">3.1. «Администрация» обязуется: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а) предоставить право на размещение нестационарного объекта «Предприятию (индивидуальному предпринимателю)» в соответствии с условиями настоящего договора;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б) не вмешиваться в хозяйственную деятельность предприятия (индивидуального предпринимателя), если она не противоречит условиям настоящего договора.</w:t>
      </w:r>
      <w:r/>
    </w:p>
    <w:p>
      <w:pPr>
        <w:pStyle w:val="820"/>
        <w:pBdr/>
        <w:spacing/>
        <w:ind/>
        <w:jc w:val="both"/>
        <w:rPr/>
      </w:pPr>
      <w:r>
        <w:t xml:space="preserve">   </w:t>
      </w:r>
      <w:r>
        <w:t xml:space="preserve">3.2. «Администрация» имеет право: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а) ос</w:t>
      </w:r>
      <w:r>
        <w:t xml:space="preserve">уществлять контроль за выполнением «Предприятием (индивидуальным предпринимателем)» условий настоящего Договора и требований нормативно-правовых актов, регулирующих размещение нестационарных торговых объектов на территории городского округа город Шарья;   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б) требовать расторжения </w:t>
      </w:r>
      <w:r>
        <w:t xml:space="preserve">договора и возмещения убытков в случае, если «Предприятие (индивидуальный предприниматель)» размещает нестационарный торговый объект не в соответствии с видом, специализацией, периодом размещения, схемой и иными существенными условиями настоящего договора;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в) требовать расторжения договора в случае выявления фактов реализации спиртосодержащих жидкостей медицинского и парфюмерного назначения. 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Возможность одностороннего расторжения договора в случае ненадлежащего исполнения (неисполнения) «Предприятием (индивидуальным предпринимателем)» обязанностей по договору, в том числе при нарушении требов</w:t>
      </w:r>
      <w:r>
        <w:t xml:space="preserve">аний к розничной продаже алкогольной продукции, установленных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продукции;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г) в случае изменения схемы размещения нестационарных торговых объектов на территории городского округа город Шарья по основаниям и в порядке, предусмотренном действующим законодательством, принять решение о перемещен</w:t>
      </w:r>
      <w:r>
        <w:t xml:space="preserve">ии Объекта с места его размещения на свободные места, предусмотренные схемой размещения нестационарных торговых объектов, без проведения торгов на право заключения договоров на размещение нестационарных объектов на территории городского округа город Шарья.</w:t>
      </w:r>
      <w:r/>
    </w:p>
    <w:p>
      <w:pPr>
        <w:pStyle w:val="820"/>
        <w:pBdr/>
        <w:spacing/>
        <w:ind w:firstLine="540"/>
        <w:jc w:val="both"/>
        <w:rPr/>
      </w:pPr>
      <w:r/>
      <w:r/>
    </w:p>
    <w:p>
      <w:pPr>
        <w:pStyle w:val="820"/>
        <w:pBdr/>
        <w:spacing/>
        <w:ind/>
        <w:rPr>
          <w:bCs/>
        </w:rPr>
      </w:pPr>
      <w:r>
        <w:rPr>
          <w:bCs/>
        </w:rPr>
        <w:t xml:space="preserve">4. Права и обязанности «Предприятия (индивидуального предпринимателя)»</w:t>
      </w:r>
      <w:r>
        <w:rPr>
          <w:bCs/>
        </w:rPr>
      </w:r>
      <w:r>
        <w:rPr>
          <w:bCs/>
        </w:rPr>
      </w:r>
    </w:p>
    <w:p>
      <w:pPr>
        <w:pStyle w:val="820"/>
        <w:widowControl w:val="true"/>
        <w:pBdr/>
        <w:spacing w:after="0" w:before="0"/>
        <w:ind w:right="0" w:firstLine="680" w:left="0"/>
        <w:jc w:val="both"/>
        <w:rPr/>
      </w:pPr>
      <w:r>
        <w:t xml:space="preserve">4.1. «Предприятие (индивидуальный предприниматель)» имеет право:</w:t>
      </w:r>
      <w:r/>
    </w:p>
    <w:p>
      <w:pPr>
        <w:pStyle w:val="820"/>
        <w:widowControl w:val="true"/>
        <w:pBdr/>
        <w:spacing w:after="0" w:before="0"/>
        <w:ind w:right="0" w:firstLine="510" w:left="0"/>
        <w:jc w:val="both"/>
        <w:rPr/>
      </w:pPr>
      <w:r>
        <w:t xml:space="preserve">а) разместить Объект по местоположению в соответствии с пунктом 1.1. настоящего договора;</w:t>
      </w:r>
      <w:r/>
    </w:p>
    <w:p>
      <w:pPr>
        <w:pStyle w:val="820"/>
        <w:widowControl w:val="true"/>
        <w:pBdr/>
        <w:spacing w:after="0" w:before="0"/>
        <w:ind w:right="0" w:firstLine="624" w:left="0"/>
        <w:jc w:val="both"/>
        <w:rPr/>
      </w:pPr>
      <w:r>
        <w:t xml:space="preserve">б) использовать Объект для осуществления торговой деятельности в соответствии с требованиями федерального законодательства;</w:t>
      </w:r>
      <w:r/>
    </w:p>
    <w:p>
      <w:pPr>
        <w:pStyle w:val="820"/>
        <w:pBdr/>
        <w:spacing/>
        <w:ind w:firstLine="456"/>
        <w:jc w:val="both"/>
        <w:rPr/>
      </w:pPr>
      <w:r>
        <w:t xml:space="preserve">в) в случае изменения схемы размещения нестационарных торговых объектов по основаниям и в порядке, предусмотренном действующим законодательством, переместить Объек</w:t>
      </w:r>
      <w:r>
        <w:t xml:space="preserve">т с места его размещения на свободные места, предусмотренные схемой размещения нестационарных торговых объектов, без проведения торгов на право заключения договоров на размещение нестационарных торговых объектов на территории городского округа город Шарья.</w:t>
      </w:r>
      <w:r/>
    </w:p>
    <w:p>
      <w:pPr>
        <w:pStyle w:val="820"/>
        <w:widowControl w:val="true"/>
        <w:pBdr/>
        <w:spacing w:after="0" w:before="0"/>
        <w:ind w:right="0" w:firstLine="567" w:left="0"/>
        <w:jc w:val="both"/>
        <w:rPr/>
      </w:pPr>
      <w:r>
        <w:t xml:space="preserve">4.2. «Предприятие (индивидуальный предприниматель)» обязан:</w:t>
      </w:r>
      <w:r/>
    </w:p>
    <w:p>
      <w:pPr>
        <w:pStyle w:val="820"/>
        <w:widowControl w:val="true"/>
        <w:pBdr/>
        <w:spacing w:after="0" w:before="0"/>
        <w:ind w:right="0" w:firstLine="567" w:left="0"/>
        <w:jc w:val="both"/>
        <w:rPr/>
      </w:pPr>
      <w:r>
        <w:t xml:space="preserve">а) использовать нестационарный торговый объект по местоположению в соответствии с пунктом 1.1 и п. 1.4. настоящего договора;</w:t>
      </w:r>
      <w:r/>
    </w:p>
    <w:p>
      <w:pPr>
        <w:pStyle w:val="820"/>
        <w:widowControl w:val="true"/>
        <w:pBdr/>
        <w:spacing w:after="0" w:before="0"/>
        <w:ind w:right="0" w:firstLine="567" w:left="0"/>
        <w:jc w:val="both"/>
        <w:rPr/>
      </w:pPr>
      <w:r>
        <w:t xml:space="preserve">б) сохранять вид и специализацию, местоположение и размеры нестационарного торгового объекта в течение установленного периода размещения;</w:t>
      </w:r>
      <w:r/>
    </w:p>
    <w:p>
      <w:pPr>
        <w:pStyle w:val="820"/>
        <w:widowControl w:val="true"/>
        <w:pBdr/>
        <w:spacing w:after="0" w:before="0"/>
        <w:ind w:right="0" w:firstLine="624" w:left="0"/>
        <w:jc w:val="both"/>
        <w:rPr/>
      </w:pPr>
      <w:r>
        <w:t xml:space="preserve">в) обеспечить функционирование нестационарного торгового объекта в соответствии с требованиями действующего законодательства Российской Федерации и настоящего договора;</w:t>
      </w:r>
      <w:r/>
    </w:p>
    <w:p>
      <w:pPr>
        <w:pStyle w:val="820"/>
        <w:widowControl w:val="true"/>
        <w:pBdr/>
        <w:spacing w:after="0" w:before="0"/>
        <w:ind w:right="0" w:firstLine="624" w:left="0"/>
        <w:jc w:val="both"/>
        <w:rPr/>
      </w:pPr>
      <w:r>
        <w:t xml:space="preserve">г) обеспечить свободный доступ в стационарный торговый объект представителям органов государственного и муниципального контроля;</w:t>
      </w:r>
      <w:r/>
    </w:p>
    <w:p>
      <w:pPr>
        <w:pStyle w:val="820"/>
        <w:widowControl w:val="true"/>
        <w:pBdr/>
        <w:spacing w:after="0" w:before="0"/>
        <w:ind w:right="0" w:firstLine="624" w:left="0"/>
        <w:jc w:val="both"/>
        <w:rPr/>
      </w:pPr>
      <w:r>
        <w:t xml:space="preserve">д) обеспечить соблюдение санитарных норм и правил, вывоз мусора и иных отходов от использования нестационарного торгового объекта;</w:t>
      </w:r>
      <w:r/>
    </w:p>
    <w:p>
      <w:pPr>
        <w:pStyle w:val="918"/>
        <w:widowControl w:val="false"/>
        <w:pBdr/>
        <w:spacing w:after="0" w:before="0"/>
        <w:ind w:right="0" w:firstLine="624" w:left="0"/>
        <w:jc w:val="both"/>
        <w:rPr>
          <w:b w:val="0"/>
        </w:rPr>
      </w:pPr>
      <w:r>
        <w:rPr>
          <w:b w:val="0"/>
        </w:rPr>
        <w:t xml:space="preserve">е) соблюдать технические требования и условия установки (размещения) и эксплуатации нестационарных торговых объектов на территории городского округа город Шарья, предъявляемые к владельцам нестационарных торговых объектов</w:t>
      </w:r>
      <w:r>
        <w:rPr>
          <w:b w:val="0"/>
        </w:rPr>
      </w:r>
      <w:r>
        <w:rPr>
          <w:b w:val="0"/>
        </w:rPr>
      </w:r>
    </w:p>
    <w:p>
      <w:pPr>
        <w:pStyle w:val="820"/>
        <w:widowControl w:val="true"/>
        <w:pBdr/>
        <w:spacing w:after="0" w:before="0"/>
        <w:ind w:right="0" w:firstLine="510" w:left="0"/>
        <w:jc w:val="both"/>
        <w:rPr/>
      </w:pPr>
      <w:r>
        <w:t xml:space="preserve">ж) не допускать передачу прав по настоящему договору третьим лицам;</w:t>
      </w:r>
      <w:r/>
    </w:p>
    <w:p>
      <w:pPr>
        <w:pStyle w:val="820"/>
        <w:widowControl w:val="true"/>
        <w:pBdr/>
        <w:spacing w:after="0" w:before="0"/>
        <w:ind w:right="0" w:firstLine="624" w:left="0"/>
        <w:jc w:val="both"/>
        <w:rPr/>
      </w:pPr>
      <w:r>
        <w:t xml:space="preserve">з) при прекращении договора в 1-дневный срок обеспечить демонтаж и вывоз нестационарного торгового объекта с места его размещения;</w:t>
      </w:r>
      <w:r/>
    </w:p>
    <w:p>
      <w:pPr>
        <w:pStyle w:val="820"/>
        <w:pBdr/>
        <w:spacing/>
        <w:ind w:firstLine="567"/>
        <w:jc w:val="both"/>
        <w:rPr/>
      </w:pPr>
      <w:r>
        <w:t xml:space="preserve">и) запрещается переустанавливать право на размещение нестационарного торгового объекта, сдавать в аренду (субаренду) нестационарный торговый объект, осу</w:t>
      </w:r>
      <w:r>
        <w:t xml:space="preserve">ществлять хозяйственную деятельность с применением договоров совместного пользования и доверительного управления, расположенных на земельных участках, находящихся в муниципальной собственности городского округа город Шарья другим субъектам хозяйствования. </w:t>
      </w:r>
      <w:r/>
    </w:p>
    <w:p>
      <w:pPr>
        <w:pStyle w:val="820"/>
        <w:pBdr/>
        <w:spacing/>
        <w:ind w:firstLine="399"/>
        <w:jc w:val="both"/>
        <w:rPr/>
      </w:pPr>
      <w:r>
        <w:t xml:space="preserve">4.3. Своевременно и полностью вносить плату по настоящему договору в размере и порядке, установленном настоящим Договором.</w:t>
      </w:r>
      <w:r/>
    </w:p>
    <w:p>
      <w:pPr>
        <w:pStyle w:val="820"/>
        <w:pBdr/>
        <w:spacing/>
        <w:ind/>
        <w:jc w:val="both"/>
        <w:rPr>
          <w:color w:val="000000"/>
        </w:rPr>
      </w:pPr>
      <w:r>
        <w:rPr>
          <w:color w:val="000000"/>
        </w:rPr>
        <w:t xml:space="preserve">              </w:t>
      </w:r>
      <w:r>
        <w:rPr>
          <w:color w:val="000000"/>
        </w:rPr>
      </w:r>
      <w:r>
        <w:rPr>
          <w:color w:val="000000"/>
        </w:rPr>
      </w:r>
    </w:p>
    <w:p>
      <w:pPr>
        <w:pStyle w:val="820"/>
        <w:pBdr/>
        <w:spacing/>
        <w:ind/>
        <w:rPr/>
      </w:pPr>
      <w:r>
        <w:t xml:space="preserve">5. Ответственность сторон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5.1. За неисполнение или нарушение условий настоящего договора стороны несут ответственность в соответствии с действующим законодательством.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5.2. За нарушение сроков внесения платы по Договору «Предприятие (индивидуальный предприниматель)» выплачивает «Администрации» пени из расчета 0,03% от размера невнесенной суммы за каждый календарный день просрочки.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5.3. В случае неиспользования торгового места по назначению, не вызванного нарушением договора со стороны Администрации, внесенная плата не возвращается.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5.4. Стороны освобождаются от обязательств по Договору в случае наступления форс-мажорных обстоятельств в соответствии с действующим законодательством Российской Федерации.</w:t>
      </w:r>
      <w:r/>
    </w:p>
    <w:p>
      <w:pPr>
        <w:pStyle w:val="820"/>
        <w:pBdr/>
        <w:spacing/>
        <w:ind w:firstLine="540"/>
        <w:jc w:val="both"/>
        <w:rPr/>
      </w:pPr>
      <w:r/>
      <w:r/>
    </w:p>
    <w:p>
      <w:pPr>
        <w:pStyle w:val="820"/>
        <w:numPr>
          <w:ilvl w:val="0"/>
          <w:numId w:val="0"/>
        </w:numPr>
        <w:pBdr/>
        <w:spacing/>
        <w:ind w:firstLine="540" w:left="0"/>
        <w:outlineLvl w:val="1"/>
        <w:rPr/>
      </w:pPr>
      <w:r>
        <w:t xml:space="preserve">6. Прочие условия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основании действующего законодательства.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6.2. При не урегулировании в процессе переговоров спорных вопросов, споры разрешаются в суде в порядке, установленном действующим законодательством.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6.3. Договор составлен в двух экземплярах, каждый из которых имеет одинаковую юридическую силу.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6.4. Все изменения и дополнения к Договору оформляются сторонами дополнительными соглашениями в письменной форме, которые являются неотъемлемой частью Договора.</w:t>
      </w:r>
      <w:r/>
    </w:p>
    <w:p>
      <w:pPr>
        <w:pStyle w:val="820"/>
        <w:pBdr/>
        <w:spacing/>
        <w:ind w:firstLine="540"/>
        <w:jc w:val="both"/>
        <w:rPr/>
      </w:pPr>
      <w:r/>
      <w:r/>
    </w:p>
    <w:p>
      <w:pPr>
        <w:pStyle w:val="820"/>
        <w:numPr>
          <w:ilvl w:val="0"/>
          <w:numId w:val="0"/>
        </w:numPr>
        <w:pBdr/>
        <w:spacing/>
        <w:ind w:firstLine="540" w:left="0"/>
        <w:outlineLvl w:val="1"/>
        <w:rPr/>
      </w:pPr>
      <w:r>
        <w:t xml:space="preserve">7. Изменение и прекращение договора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7.1. Пересмотр договора, изменение о</w:t>
      </w:r>
      <w:r>
        <w:t xml:space="preserve">тдельных пунктов, дополнения к условиям договора возможны по обоюдному согласию сторон и действительны, если они составлены в письменной форме и подписаны уполномоченными представителями сторон. При этом не допускается изменение следующих условий договора: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а) основания заключения договора на размещение нестационарного торгового объекта;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б) цены аукци</w:t>
      </w:r>
      <w:r>
        <w:t xml:space="preserve">она, за которую победитель аукциона (единственный участник аукциона) или действующий правообладатель приобрел право на заключение договора на размещение нестационарного торгового объекта, а также порядок и сроки внесения сумм оплаты по настоящему договору;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в) адрес размещения (местоположение и размер площади места размещения нестационарного торгового объекта), вид, специализация, период размещения нестационарного торгового объекта;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г) срок действия договора;</w:t>
      </w:r>
      <w:r/>
    </w:p>
    <w:p>
      <w:pPr>
        <w:pStyle w:val="820"/>
        <w:pBdr/>
        <w:spacing/>
        <w:ind w:firstLine="540"/>
        <w:jc w:val="both"/>
        <w:rPr/>
      </w:pPr>
      <w:r>
        <w:t xml:space="preserve">д) ответственность сторон.</w:t>
      </w:r>
      <w:r/>
    </w:p>
    <w:p>
      <w:pPr>
        <w:pStyle w:val="820"/>
        <w:widowControl w:val="true"/>
        <w:pBdr/>
        <w:tabs>
          <w:tab w:val="left" w:leader="none" w:pos="120"/>
          <w:tab w:val="clear" w:leader="none" w:pos="709"/>
        </w:tabs>
        <w:spacing w:after="0" w:before="0"/>
        <w:ind w:right="0" w:firstLine="567" w:left="0"/>
        <w:jc w:val="both"/>
        <w:rPr/>
      </w:pPr>
      <w:r>
        <w:t xml:space="preserve">7.2. Настоящий договор расторгается в случаях:</w:t>
      </w:r>
      <w:r/>
    </w:p>
    <w:p>
      <w:pPr>
        <w:pStyle w:val="820"/>
        <w:widowControl w:val="true"/>
        <w:pBdr/>
        <w:spacing w:after="0" w:before="0"/>
        <w:ind w:right="0" w:firstLine="567" w:left="0"/>
        <w:jc w:val="both"/>
        <w:rPr/>
      </w:pPr>
      <w:r>
        <w:t xml:space="preserve">а) по соглашению сторон Договора;</w:t>
      </w:r>
      <w:r/>
    </w:p>
    <w:p>
      <w:pPr>
        <w:pStyle w:val="820"/>
        <w:widowControl w:val="true"/>
        <w:pBdr/>
        <w:spacing w:after="0" w:before="0"/>
        <w:ind w:right="0" w:firstLine="567" w:left="0"/>
        <w:jc w:val="both"/>
        <w:rPr/>
      </w:pPr>
      <w:r>
        <w:t xml:space="preserve">б) в случае прекращения «Предприятия (индивидуального предпринимателя)» в установленном законодательством Российской Федерации своей деятельности;</w:t>
      </w:r>
      <w:r/>
    </w:p>
    <w:p>
      <w:pPr>
        <w:pStyle w:val="820"/>
        <w:widowControl w:val="true"/>
        <w:pBdr/>
        <w:spacing w:after="0" w:before="0"/>
        <w:ind w:right="0" w:firstLine="567" w:left="0"/>
        <w:jc w:val="both"/>
        <w:rPr/>
      </w:pPr>
      <w:r>
        <w:t xml:space="preserve">в) по решению суда, в том числе по заявлению Админи</w:t>
      </w:r>
      <w:r>
        <w:t xml:space="preserve">страции, в случае нарушения «Предприятием (индивидуальным предпринимателем)» существенных условий договора на размещение нестационарного торгового объекта, указанных в пунктах 1.1 - 1.5 настоящего Договора. Нарушения должны быть подтверждены документально;</w:t>
      </w:r>
      <w:r/>
    </w:p>
    <w:p>
      <w:pPr>
        <w:pStyle w:val="820"/>
        <w:pBdr/>
        <w:spacing/>
        <w:ind w:firstLine="567"/>
        <w:jc w:val="both"/>
        <w:rPr/>
      </w:pPr>
      <w:r>
        <w:t xml:space="preserve">г) в случае выявления контролирующими органами подтверждающих фактов необоснованного установления розничной цены на товар.</w:t>
      </w:r>
      <w:r/>
    </w:p>
    <w:p>
      <w:pPr>
        <w:pStyle w:val="820"/>
        <w:pBdr/>
        <w:spacing/>
        <w:ind/>
        <w:jc w:val="both"/>
        <w:rPr/>
      </w:pPr>
      <w:r/>
      <w:r/>
    </w:p>
    <w:p>
      <w:pPr>
        <w:pStyle w:val="820"/>
        <w:numPr>
          <w:ilvl w:val="0"/>
          <w:numId w:val="0"/>
        </w:numPr>
        <w:pBdr/>
        <w:spacing/>
        <w:ind w:firstLine="540" w:left="0"/>
        <w:outlineLvl w:val="1"/>
        <w:rPr/>
      </w:pPr>
      <w:r>
        <w:t xml:space="preserve">8. Реквизиты сторон</w:t>
      </w:r>
      <w:r/>
    </w:p>
    <w:p>
      <w:pPr>
        <w:pStyle w:val="820"/>
        <w:numPr>
          <w:ilvl w:val="0"/>
          <w:numId w:val="0"/>
        </w:numPr>
        <w:pBdr/>
        <w:spacing/>
        <w:ind w:firstLine="540" w:left="0"/>
        <w:jc w:val="both"/>
        <w:outlineLvl w:val="1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626360" cy="3658870"/>
                <wp:effectExtent l="0" t="0" r="0" b="0"/>
                <wp:docPr id="2" name="Фигура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25840" cy="365832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2625840" cy="365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Администрация городского округа город Шарья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Октябрьская ул., д.21,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г.Шарья, Костромская обл., 157500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тел.: (49449) 5-89-40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факс: (49449) 5-89-32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e-mail:</w:t>
                              </w:r>
                              <w:r>
                                <w:rPr>
                                  <w:rFonts w:ascii="Times New Roman" w:hAnsi="Times New Roman" w:eastAsia="Times New Roman" w:cs="Times New Roman"/>
                                  <w:color w:val="000000" w:themeColor="text1"/>
                                  <w:sz w:val="24"/>
                                  <w:szCs w:val="24"/>
                                  <w:highlight w:val="white"/>
                                </w:rPr>
                                <w:t xml:space="preserve">gorod_sharya@kostroma.gov.ru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ИНН 4407002295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КПП 440701001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ОКПО 04030958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ОГРН 1024402034095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Глава городского округа город Шарья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Cs w:val="20"/>
                                  <w:lang w:eastAsia="zh-CN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__________________(ФИО)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Cs w:val="20"/>
                                  <w:lang w:eastAsia="zh-CN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/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szCs w:val="20"/>
                                  <w:lang w:eastAsia="zh-CN"/>
                                </w:rPr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eastAsia="Times New Roman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МП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</w:r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/>
                              </w:pPr>
                              <w:r>
                                <w:rPr>
                                  <w:szCs w:val="20"/>
                                  <w:lang w:eastAsia="zh-CN"/>
                                </w:rPr>
                              </w:r>
                              <w:r/>
                            </w:p>
                          </w:txbxContent>
                        </wps:txbx>
                        <wps:bodyPr lIns="90000" tIns="45000" rIns="90000" bIns="4500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0000" style="width:206.80pt;height:288.10pt;mso-wrap-distance-left:0.00pt;mso-wrap-distance-top:0.00pt;mso-wrap-distance-right:0.00pt;mso-wrap-distance-bottom:0.00pt;" coordorigin="0,0" coordsize="0,0">
                <v:shape id="shape 2" o:spid="_x0000_s2" o:spt="1" type="#_x0000_t1" style="position:absolute;left:0;top:0;width:26258;height:36583;visibility:visible;" filled="f" stroked="f">
                  <v:textbox inset="0,0,0,0">
                    <w:txbxContent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Администрация городского округа город Шарья</w:t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Октябрьская ул., д.21, </w:t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г.Шарья, Костромская обл., 157500</w:t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тел.: (49449) 5-89-40</w:t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факс: (49449) 5-89-32</w:t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e-mail:</w:t>
                        </w:r>
                        <w:r>
                          <w:rPr>
                            <w:rFonts w:ascii="Times New Roman" w:hAnsi="Times New Roman" w:eastAsia="Times New Roman" w:cs="Times New Roman"/>
                            <w:color w:val="000000" w:themeColor="text1"/>
                            <w:sz w:val="24"/>
                            <w:szCs w:val="24"/>
                            <w:highlight w:val="white"/>
                          </w:rPr>
                          <w:t xml:space="preserve">gorod_sharya@kostroma.gov.ru</w:t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ИНН 4407002295</w:t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КПП 440701001</w:t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ОКПО 04030958</w:t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ОГРН 1024402034095</w:t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Глава городского округа город Шарья</w:t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Cs w:val="20"/>
                            <w:lang w:eastAsia="zh-CN"/>
                          </w:rPr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__________________(ФИО)</w:t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zCs w:val="20"/>
                            <w:lang w:eastAsia="zh-CN"/>
                          </w:rPr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/>
                        </w:pPr>
                        <w:r>
                          <w:rPr>
                            <w:rFonts w:ascii="Times New Roman" w:hAnsi="Times New Roman" w:eastAsia="Times New Roman" w:cs="Times New Roman"/>
                            <w:szCs w:val="20"/>
                            <w:lang w:eastAsia="zh-CN"/>
                          </w:rPr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МП</w:t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  <w:r>
                          <w:rPr>
                            <w:rFonts w:ascii="Times New Roman" w:hAnsi="Times New Roman" w:cs="Times New Roman"/>
                          </w:rPr>
                        </w:r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/>
                        </w:pPr>
                        <w:r>
                          <w:rPr>
                            <w:szCs w:val="20"/>
                            <w:lang w:eastAsia="zh-CN"/>
                          </w:rPr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</w:rPr>
        <w:t xml:space="preserve">                     </w:t>
      </w: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345690" cy="3658870"/>
                <wp:effectExtent l="0" t="0" r="0" b="0"/>
                <wp:docPr id="3" name="Фигура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45040" cy="365832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2345040" cy="365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both"/>
                                <w:rPr/>
                              </w:pPr>
                              <w:r>
                                <w:rPr>
                                  <w:rFonts w:ascii="Times New Roman" w:hAnsi="Times New Roman" w:eastAsia="Arial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 Предприятие (индивидуальный предприниматель) 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both"/>
                                <w:rPr/>
                              </w:pPr>
                              <w:r>
                                <w:rPr>
                                  <w:rFonts w:ascii="Times New Roman" w:hAnsi="Times New Roman" w:eastAsia="Arial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_________________________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both"/>
                                <w:rPr/>
                              </w:pPr>
                              <w:r>
                                <w:rPr>
                                  <w:rFonts w:ascii="Times New Roman" w:hAnsi="Times New Roman" w:eastAsia="Arial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_________________________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both"/>
                                <w:rPr/>
                              </w:pPr>
                              <w:r>
                                <w:rPr>
                                  <w:rFonts w:ascii="Times New Roman" w:hAnsi="Times New Roman" w:eastAsia="Arial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_________________________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both"/>
                                <w:rPr/>
                              </w:pPr>
                              <w:r>
                                <w:rPr>
                                  <w:rFonts w:ascii="Times New Roman" w:hAnsi="Times New Roman" w:eastAsia="Arial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Местонахождение (домашний адрес): ____________________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both"/>
                                <w:rPr/>
                              </w:pPr>
                              <w:r>
                                <w:rPr>
                                  <w:rFonts w:ascii="Times New Roman" w:hAnsi="Times New Roman" w:eastAsia="Arial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__________________________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both"/>
                                <w:rPr/>
                              </w:pPr>
                              <w:r>
                                <w:rPr>
                                  <w:rFonts w:ascii="Times New Roman" w:hAnsi="Times New Roman" w:eastAsia="Arial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Регистрационные данные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both"/>
                                <w:rPr/>
                              </w:pPr>
                              <w:r>
                                <w:rPr>
                                  <w:rFonts w:ascii="Times New Roman" w:hAnsi="Times New Roman" w:eastAsia="Arial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ОГРН _____________________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both"/>
                                <w:rPr/>
                              </w:pPr>
                              <w:r>
                                <w:rPr>
                                  <w:rFonts w:ascii="Times New Roman" w:hAnsi="Times New Roman" w:eastAsia="Arial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ИНН ______________________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both"/>
                                <w:rPr/>
                              </w:pPr>
                              <w:r>
                                <w:rPr>
                                  <w:rFonts w:ascii="Times New Roman" w:hAnsi="Times New Roman" w:eastAsia="Arial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Тел. _______________________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/>
                              </w:pPr>
                              <w:r>
                                <w:rPr>
                                  <w:szCs w:val="20"/>
                                  <w:lang w:eastAsia="zh-CN"/>
                                </w:rPr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/>
                              </w:pPr>
                              <w:r>
                                <w:rPr>
                                  <w:rFonts w:ascii="Times New Roman" w:hAnsi="Times New Roman" w:eastAsia="Arial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ИП________________(ФИО)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/>
                              </w:pPr>
                              <w:r>
                                <w:rPr>
                                  <w:szCs w:val="20"/>
                                  <w:lang w:eastAsia="zh-CN"/>
                                </w:rPr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/>
                              </w:pPr>
                              <w:r>
                                <w:rPr>
                                  <w:rFonts w:ascii="Times New Roman" w:hAnsi="Times New Roman" w:eastAsia="Arial" w:cs="Times New Roman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24"/>
                                  <w:szCs w:val="24"/>
                                  <w:u w:val="none"/>
                                  <w:vertAlign w:val="baseline"/>
                                  <w:lang w:eastAsia="zh-CN"/>
                                </w:rPr>
                                <w:t xml:space="preserve">МП</w:t>
                              </w:r>
                              <w:r/>
                            </w:p>
                            <w:p>
                              <w:pPr>
                                <w:pBdr/>
                                <w:spacing w:after="0" w:before="0" w:line="240" w:lineRule="auto"/>
                                <w:ind/>
                                <w:jc w:val="left"/>
                                <w:rPr/>
                              </w:pPr>
                              <w:r>
                                <w:rPr>
                                  <w:szCs w:val="20"/>
                                  <w:lang w:eastAsia="zh-CN"/>
                                </w:rPr>
                              </w:r>
                              <w:r/>
                            </w:p>
                          </w:txbxContent>
                        </wps:txbx>
                        <wps:bodyPr lIns="90000" tIns="45000" rIns="90000" bIns="4500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0000" style="width:184.70pt;height:288.10pt;mso-wrap-distance-left:0.00pt;mso-wrap-distance-top:0.00pt;mso-wrap-distance-right:0.00pt;mso-wrap-distance-bottom:0.00pt;" coordorigin="0,0" coordsize="0,0">
                <v:shape id="shape 4" o:spid="_x0000_s4" o:spt="1" type="#_x0000_t1" style="position:absolute;left:0;top:0;width:23450;height:36583;visibility:visible;" filled="f" stroked="f">
                  <v:textbox inset="0,0,0,0">
                    <w:txbxContent>
                      <w:p>
                        <w:pPr>
                          <w:pBdr/>
                          <w:spacing w:after="0" w:before="0" w:line="240" w:lineRule="auto"/>
                          <w:ind/>
                          <w:jc w:val="both"/>
                          <w:rPr/>
                        </w:pPr>
                        <w:r>
                          <w:rPr>
                            <w:rFonts w:ascii="Times New Roman" w:hAnsi="Times New Roman" w:eastAsia="Arial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 Предприятие (индивидуальный предприниматель) 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both"/>
                          <w:rPr/>
                        </w:pPr>
                        <w:r>
                          <w:rPr>
                            <w:rFonts w:ascii="Times New Roman" w:hAnsi="Times New Roman" w:eastAsia="Arial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_________________________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both"/>
                          <w:rPr/>
                        </w:pPr>
                        <w:r>
                          <w:rPr>
                            <w:rFonts w:ascii="Times New Roman" w:hAnsi="Times New Roman" w:eastAsia="Arial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_________________________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both"/>
                          <w:rPr/>
                        </w:pPr>
                        <w:r>
                          <w:rPr>
                            <w:rFonts w:ascii="Times New Roman" w:hAnsi="Times New Roman" w:eastAsia="Arial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_________________________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both"/>
                          <w:rPr/>
                        </w:pPr>
                        <w:r>
                          <w:rPr>
                            <w:rFonts w:ascii="Times New Roman" w:hAnsi="Times New Roman" w:eastAsia="Arial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Местонахождение (домашний адрес): ____________________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both"/>
                          <w:rPr/>
                        </w:pPr>
                        <w:r>
                          <w:rPr>
                            <w:rFonts w:ascii="Times New Roman" w:hAnsi="Times New Roman" w:eastAsia="Arial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__________________________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both"/>
                          <w:rPr/>
                        </w:pPr>
                        <w:r>
                          <w:rPr>
                            <w:rFonts w:ascii="Times New Roman" w:hAnsi="Times New Roman" w:eastAsia="Arial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Регистрационные данные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both"/>
                          <w:rPr/>
                        </w:pPr>
                        <w:r>
                          <w:rPr>
                            <w:rFonts w:ascii="Times New Roman" w:hAnsi="Times New Roman" w:eastAsia="Arial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ОГРН _____________________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both"/>
                          <w:rPr/>
                        </w:pPr>
                        <w:r>
                          <w:rPr>
                            <w:rFonts w:ascii="Times New Roman" w:hAnsi="Times New Roman" w:eastAsia="Arial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ИНН ______________________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both"/>
                          <w:rPr/>
                        </w:pPr>
                        <w:r>
                          <w:rPr>
                            <w:rFonts w:ascii="Times New Roman" w:hAnsi="Times New Roman" w:eastAsia="Arial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Тел. _______________________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/>
                        </w:pPr>
                        <w:r>
                          <w:rPr>
                            <w:szCs w:val="20"/>
                            <w:lang w:eastAsia="zh-CN"/>
                          </w:rPr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/>
                        </w:pPr>
                        <w:r>
                          <w:rPr>
                            <w:rFonts w:ascii="Times New Roman" w:hAnsi="Times New Roman" w:eastAsia="Arial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ИП________________(ФИО)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/>
                        </w:pPr>
                        <w:r>
                          <w:rPr>
                            <w:szCs w:val="20"/>
                            <w:lang w:eastAsia="zh-CN"/>
                          </w:rPr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/>
                        </w:pPr>
                        <w:r>
                          <w:rPr>
                            <w:rFonts w:ascii="Times New Roman" w:hAnsi="Times New Roman" w:eastAsia="Arial" w:cs="Times New Roman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24"/>
                            <w:szCs w:val="24"/>
                            <w:u w:val="none"/>
                            <w:vertAlign w:val="baseline"/>
                            <w:lang w:eastAsia="zh-CN"/>
                          </w:rPr>
                          <w:t xml:space="preserve">МП</w:t>
                        </w:r>
                        <w:r/>
                      </w:p>
                      <w:p>
                        <w:pPr>
                          <w:pBdr/>
                          <w:spacing w:after="0" w:before="0" w:line="240" w:lineRule="auto"/>
                          <w:ind/>
                          <w:jc w:val="left"/>
                          <w:rPr/>
                        </w:pPr>
                        <w:r>
                          <w:rPr>
                            <w:szCs w:val="20"/>
                            <w:lang w:eastAsia="zh-CN"/>
                          </w:rPr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</w:rPr>
      </w:r>
      <w:r>
        <w:rPr>
          <w:b/>
        </w:rPr>
      </w:r>
    </w:p>
    <w:sectPr>
      <w:footerReference w:type="default" r:id="rId8"/>
      <w:footnotePr/>
      <w:endnotePr/>
      <w:type w:val="nextPage"/>
      <w:pgSz w:h="16838" w:orient="landscape" w:w="11906"/>
      <w:pgMar w:top="567" w:right="567" w:bottom="993" w:left="1185" w:header="0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 New">
    <w:panose1 w:val="02070309020205020404"/>
  </w:font>
  <w:font w:name="Segoe UI">
    <w:panose1 w:val="020B0502040204020203"/>
  </w:font>
  <w:font w:name="RussianRail G Pro">
    <w:panose1 w:val="05050102010205020202"/>
  </w:font>
  <w:font w:name="Calibri">
    <w:panose1 w:val="020F0502020204030204"/>
  </w:font>
  <w:font w:name="PT Astra Serif">
    <w:panose1 w:val="05050102010205020202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5050102010205020202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pBdr/>
      <w:spacing/>
      <w:ind w:right="360" w:firstLine="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4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7470" cy="349885"/>
              <wp:effectExtent l="0" t="0" r="0" b="0"/>
              <wp:wrapTopAndBottom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34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85"/>
                            <w:pBdr/>
                            <w:spacing/>
                            <w:ind/>
                            <w:rPr>
                              <w:rStyle w:val="867"/>
                            </w:rPr>
                          </w:pPr>
                          <w:r>
                            <w:rPr>
                              <w:rStyle w:val="867"/>
                            </w:rPr>
                            <w:fldChar w:fldCharType="begin"/>
                          </w:r>
                          <w:r>
                            <w:rPr>
                              <w:rStyle w:val="867"/>
                            </w:rPr>
                            <w:instrText xml:space="preserve"> PAGE </w:instrText>
                          </w:r>
                          <w:r>
                            <w:rPr>
                              <w:rStyle w:val="867"/>
                            </w:rPr>
                            <w:fldChar w:fldCharType="separate"/>
                          </w:r>
                          <w:r>
                            <w:rPr>
                              <w:rStyle w:val="867"/>
                            </w:rPr>
                            <w:t xml:space="preserve">13</w:t>
                          </w:r>
                          <w:r>
                            <w:rPr>
                              <w:rStyle w:val="867"/>
                            </w:rPr>
                            <w:fldChar w:fldCharType="end"/>
                          </w:r>
                          <w:r>
                            <w:rPr>
                              <w:rStyle w:val="867"/>
                            </w:rPr>
                          </w:r>
                          <w:r>
                            <w:rPr>
                              <w:rStyle w:val="867"/>
                            </w:rPr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14;o:allowoverlap:true;o:allowincell:true;mso-position-horizontal-relative:margin;mso-position-horizontal:right;mso-position-vertical-relative:text;margin-top:0.05pt;mso-position-vertical:absolute;width:6.10pt;height:27.55pt;mso-wrap-distance-left:0.00pt;mso-wrap-distance-top:0.00pt;mso-wrap-distance-right:0.00pt;mso-wrap-distance-bottom:0.00pt;visibility:visible;" filled="f" stroked="f">
              <w10:wrap type="topAndBottom"/>
              <v:textbox inset="0,0,0,0">
                <w:txbxContent>
                  <w:p>
                    <w:pPr>
                      <w:pStyle w:val="885"/>
                      <w:pBdr/>
                      <w:spacing/>
                      <w:ind/>
                      <w:rPr>
                        <w:rStyle w:val="867"/>
                      </w:rPr>
                    </w:pPr>
                    <w:r>
                      <w:rPr>
                        <w:rStyle w:val="867"/>
                      </w:rPr>
                      <w:fldChar w:fldCharType="begin"/>
                    </w:r>
                    <w:r>
                      <w:rPr>
                        <w:rStyle w:val="867"/>
                      </w:rPr>
                      <w:instrText xml:space="preserve"> PAGE </w:instrText>
                    </w:r>
                    <w:r>
                      <w:rPr>
                        <w:rStyle w:val="867"/>
                      </w:rPr>
                      <w:fldChar w:fldCharType="separate"/>
                    </w:r>
                    <w:r>
                      <w:rPr>
                        <w:rStyle w:val="867"/>
                      </w:rPr>
                      <w:t xml:space="preserve">13</w:t>
                    </w:r>
                    <w:r>
                      <w:rPr>
                        <w:rStyle w:val="867"/>
                      </w:rPr>
                      <w:fldChar w:fldCharType="end"/>
                    </w:r>
                    <w:r>
                      <w:rPr>
                        <w:rStyle w:val="867"/>
                      </w:rPr>
                    </w:r>
                    <w:r>
                      <w:rPr>
                        <w:rStyle w:val="867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1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18">
    <w:name w:val="footnote reference"/>
    <w:basedOn w:val="872"/>
    <w:uiPriority w:val="99"/>
    <w:unhideWhenUsed/>
    <w:pPr>
      <w:pBdr/>
      <w:spacing/>
      <w:ind/>
    </w:pPr>
    <w:rPr>
      <w:vertAlign w:val="superscript"/>
    </w:rPr>
  </w:style>
  <w:style w:type="character" w:styleId="819">
    <w:name w:val="endnote reference"/>
    <w:basedOn w:val="872"/>
    <w:uiPriority w:val="99"/>
    <w:semiHidden/>
    <w:unhideWhenUsed/>
    <w:pPr>
      <w:pBdr/>
      <w:spacing/>
      <w:ind/>
    </w:pPr>
    <w:rPr>
      <w:vertAlign w:val="superscript"/>
    </w:rPr>
  </w:style>
  <w:style w:type="paragraph" w:styleId="820" w:default="1">
    <w:name w:val="Normal"/>
    <w:qFormat/>
    <w:pPr>
      <w:widowControl w:val="true"/>
      <w:pBdr/>
      <w:spacing w:after="0" w:before="0"/>
      <w:ind/>
      <w:jc w:val="center"/>
    </w:pPr>
    <w:rPr>
      <w:rFonts w:ascii="Times New Roman" w:hAnsi="Times New Roman" w:eastAsia="Tahoma" w:cs="Noto Sans Devanagari"/>
      <w:color w:val="auto"/>
      <w:sz w:val="24"/>
      <w:szCs w:val="24"/>
      <w:lang w:val="ru-RU" w:eastAsia="en-US" w:bidi="ar-SA"/>
    </w:rPr>
  </w:style>
  <w:style w:type="paragraph" w:styleId="821">
    <w:name w:val="Heading 1"/>
    <w:basedOn w:val="820"/>
    <w:qFormat/>
    <w:pPr>
      <w:keepNext w:val="true"/>
      <w:pBdr/>
      <w:spacing w:after="60" w:before="240"/>
      <w:ind/>
      <w:outlineLvl w:val="0"/>
    </w:pPr>
    <w:rPr>
      <w:rFonts w:ascii="Arial" w:hAnsi="Arial" w:cs="Arial"/>
      <w:b/>
      <w:bCs/>
      <w:sz w:val="32"/>
      <w:szCs w:val="32"/>
    </w:rPr>
  </w:style>
  <w:style w:type="paragraph" w:styleId="822">
    <w:name w:val="Heading 2"/>
    <w:basedOn w:val="82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23">
    <w:name w:val="Heading 3"/>
    <w:basedOn w:val="82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24">
    <w:name w:val="Heading 4"/>
    <w:basedOn w:val="820"/>
    <w:uiPriority w:val="99"/>
    <w:qFormat/>
    <w:pPr>
      <w:keepNext w:val="true"/>
      <w:keepLines w:val="true"/>
      <w:pageBreakBefore w:val="true"/>
      <w:pBdr/>
      <w:spacing w:after="60" w:before="240"/>
      <w:ind/>
      <w:outlineLvl w:val="3"/>
    </w:pPr>
    <w:rPr>
      <w:b/>
      <w:bCs/>
      <w:sz w:val="28"/>
      <w:szCs w:val="28"/>
      <w:lang w:val="en-US" w:eastAsia="en-US"/>
    </w:rPr>
  </w:style>
  <w:style w:type="paragraph" w:styleId="825">
    <w:name w:val="Heading 5"/>
    <w:basedOn w:val="820"/>
    <w:link w:val="86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26">
    <w:name w:val="Heading 6"/>
    <w:basedOn w:val="820"/>
    <w:link w:val="90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27">
    <w:name w:val="Heading 7"/>
    <w:basedOn w:val="8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8">
    <w:name w:val="Heading 8"/>
    <w:basedOn w:val="82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29">
    <w:name w:val="Heading 9"/>
    <w:basedOn w:val="82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0">
    <w:name w:val="Heading 1 Char"/>
    <w:link w:val="923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31">
    <w:name w:val="Heading 2 Char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832">
    <w:name w:val="Heading 3 Char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33">
    <w:name w:val="Heading 5 Char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34">
    <w:name w:val="Heading 6 Char"/>
    <w:link w:val="889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35">
    <w:name w:val="Heading 7 Char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36">
    <w:name w:val="Heading 8 Char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37">
    <w:name w:val="Heading 9 Char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38">
    <w:name w:val="Title Char"/>
    <w:link w:val="916"/>
    <w:uiPriority w:val="10"/>
    <w:qFormat/>
    <w:pPr>
      <w:pBdr/>
      <w:spacing/>
      <w:ind/>
    </w:pPr>
    <w:rPr>
      <w:sz w:val="48"/>
      <w:szCs w:val="48"/>
    </w:rPr>
  </w:style>
  <w:style w:type="character" w:styleId="839">
    <w:name w:val="Subtitle Char"/>
    <w:uiPriority w:val="11"/>
    <w:qFormat/>
    <w:pPr>
      <w:pBdr/>
      <w:spacing/>
      <w:ind/>
    </w:pPr>
    <w:rPr>
      <w:sz w:val="24"/>
      <w:szCs w:val="24"/>
    </w:rPr>
  </w:style>
  <w:style w:type="character" w:styleId="840">
    <w:name w:val="Quote Char"/>
    <w:uiPriority w:val="29"/>
    <w:qFormat/>
    <w:pPr>
      <w:pBdr/>
      <w:spacing/>
      <w:ind/>
    </w:pPr>
    <w:rPr>
      <w:i/>
    </w:rPr>
  </w:style>
  <w:style w:type="character" w:styleId="841">
    <w:name w:val="Intense Quote Char"/>
    <w:uiPriority w:val="30"/>
    <w:qFormat/>
    <w:pPr>
      <w:pBdr/>
      <w:spacing/>
      <w:ind/>
    </w:pPr>
    <w:rPr>
      <w:i/>
    </w:rPr>
  </w:style>
  <w:style w:type="character" w:styleId="842">
    <w:name w:val="Header Char"/>
    <w:link w:val="854"/>
    <w:uiPriority w:val="99"/>
    <w:qFormat/>
    <w:pPr>
      <w:pBdr/>
      <w:spacing/>
      <w:ind/>
    </w:pPr>
  </w:style>
  <w:style w:type="character" w:styleId="843">
    <w:name w:val="Caption Char"/>
    <w:uiPriority w:val="99"/>
    <w:qFormat/>
    <w:pPr>
      <w:pBdr/>
      <w:spacing/>
      <w:ind/>
    </w:pPr>
  </w:style>
  <w:style w:type="character" w:styleId="844">
    <w:name w:val="Интернет-ссылка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45">
    <w:name w:val="Footnote Text Char"/>
    <w:uiPriority w:val="99"/>
    <w:qFormat/>
    <w:pPr>
      <w:pBdr/>
      <w:spacing/>
      <w:ind/>
    </w:pPr>
    <w:rPr>
      <w:sz w:val="18"/>
    </w:rPr>
  </w:style>
  <w:style w:type="character" w:styleId="846">
    <w:name w:val="Привязка сноски"/>
    <w:pPr>
      <w:pBdr/>
      <w:spacing/>
      <w:ind/>
    </w:pPr>
    <w:rPr>
      <w:vertAlign w:val="superscript"/>
    </w:rPr>
  </w:style>
  <w:style w:type="character" w:styleId="847">
    <w:name w:val="Footnote Characters"/>
    <w:uiPriority w:val="99"/>
    <w:unhideWhenUsed/>
    <w:qFormat/>
    <w:pPr>
      <w:pBdr/>
      <w:spacing/>
      <w:ind/>
    </w:pPr>
    <w:rPr>
      <w:vertAlign w:val="superscript"/>
    </w:rPr>
  </w:style>
  <w:style w:type="character" w:styleId="848">
    <w:name w:val="Endnote Text Char"/>
    <w:uiPriority w:val="99"/>
    <w:qFormat/>
    <w:pPr>
      <w:pBdr/>
      <w:spacing/>
      <w:ind/>
    </w:pPr>
    <w:rPr>
      <w:sz w:val="20"/>
    </w:rPr>
  </w:style>
  <w:style w:type="character" w:styleId="849">
    <w:name w:val="Привязка концевой сноски"/>
    <w:pPr>
      <w:pBdr/>
      <w:spacing/>
      <w:ind/>
    </w:pPr>
    <w:rPr>
      <w:vertAlign w:val="superscript"/>
    </w:rPr>
  </w:style>
  <w:style w:type="character" w:styleId="850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51">
    <w:name w:val="Основной шрифт абзаца"/>
    <w:uiPriority w:val="99"/>
    <w:semiHidden/>
    <w:qFormat/>
    <w:pPr>
      <w:pBdr/>
      <w:spacing/>
      <w:ind/>
    </w:pPr>
  </w:style>
  <w:style w:type="character" w:styleId="852">
    <w:name w:val="Heading 4 Char"/>
    <w:uiPriority w:val="99"/>
    <w:semiHidden/>
    <w:qFormat/>
    <w:pPr>
      <w:pBdr/>
      <w:spacing/>
      <w:ind/>
    </w:pPr>
    <w:rPr>
      <w:rFonts w:ascii="Calibri" w:hAnsi="Calibri" w:eastAsia="Times New Roman" w:cs="Calibri"/>
      <w:b/>
      <w:bCs/>
      <w:sz w:val="28"/>
      <w:szCs w:val="28"/>
      <w:lang w:val="en-US" w:eastAsia="en-US"/>
    </w:rPr>
  </w:style>
  <w:style w:type="character" w:styleId="853">
    <w:name w:val="Гиперссылка"/>
    <w:uiPriority w:val="99"/>
    <w:qFormat/>
    <w:pPr>
      <w:pBdr/>
      <w:spacing/>
      <w:ind/>
    </w:pPr>
    <w:rPr>
      <w:color w:val="0000ff"/>
      <w:u w:val="single"/>
    </w:rPr>
  </w:style>
  <w:style w:type="character" w:styleId="854">
    <w:name w:val="Заголовок 4 Знак"/>
    <w:uiPriority w:val="99"/>
    <w:qFormat/>
    <w:pPr>
      <w:pBdr/>
      <w:spacing/>
      <w:ind/>
    </w:pPr>
    <w:rPr>
      <w:b/>
      <w:bCs/>
      <w:sz w:val="28"/>
      <w:szCs w:val="28"/>
      <w:lang w:val="en-US" w:eastAsia="en-US"/>
    </w:rPr>
  </w:style>
  <w:style w:type="character" w:styleId="855">
    <w:name w:val="Название Знак,Приложения Знак"/>
    <w:uiPriority w:val="99"/>
    <w:qFormat/>
    <w:pPr>
      <w:pBdr/>
      <w:spacing/>
      <w:ind/>
    </w:pPr>
    <w:rPr>
      <w:sz w:val="24"/>
      <w:szCs w:val="24"/>
      <w:lang w:val="en-US" w:eastAsia="en-US"/>
    </w:rPr>
  </w:style>
  <w:style w:type="character" w:styleId="856">
    <w:name w:val="Title Char,Приложения Char"/>
    <w:uiPriority w:val="10"/>
    <w:qFormat/>
    <w:pPr>
      <w:pBdr/>
      <w:spacing/>
      <w:ind/>
    </w:pPr>
    <w:rPr>
      <w:rFonts w:ascii="Cambria" w:hAnsi="Cambria" w:eastAsia="Times New Roman" w:cs="Times New Roman"/>
      <w:b/>
      <w:bCs/>
      <w:sz w:val="32"/>
      <w:szCs w:val="32"/>
      <w:lang w:eastAsia="en-US"/>
    </w:rPr>
  </w:style>
  <w:style w:type="character" w:styleId="857">
    <w:name w:val="Title Char1,Приложения Char1"/>
    <w:uiPriority w:val="99"/>
    <w:qFormat/>
    <w:pPr>
      <w:pBdr/>
      <w:spacing/>
      <w:ind/>
    </w:pPr>
    <w:rPr>
      <w:rFonts w:ascii="Cambria" w:hAnsi="Cambria" w:eastAsia="Times New Roman" w:cs="Cambria"/>
      <w:b/>
      <w:bCs/>
      <w:sz w:val="32"/>
      <w:szCs w:val="32"/>
      <w:lang w:val="en-US" w:eastAsia="en-US"/>
    </w:rPr>
  </w:style>
  <w:style w:type="character" w:styleId="858">
    <w:name w:val="Основной текст Знак"/>
    <w:uiPriority w:val="99"/>
    <w:qFormat/>
    <w:pPr>
      <w:pBdr/>
      <w:spacing/>
      <w:ind/>
    </w:pPr>
    <w:rPr>
      <w:rFonts w:ascii="RussianRail G Pro" w:hAnsi="RussianRail G Pro" w:eastAsia="Times New Roman" w:cs="RussianRail G Pro"/>
      <w:sz w:val="22"/>
      <w:szCs w:val="22"/>
      <w:lang w:val="en-US" w:eastAsia="en-US"/>
    </w:rPr>
  </w:style>
  <w:style w:type="character" w:styleId="859">
    <w:name w:val="Body Text Char"/>
    <w:uiPriority w:val="99"/>
    <w:semiHidden/>
    <w:qFormat/>
    <w:pPr>
      <w:pBdr/>
      <w:spacing/>
      <w:ind/>
    </w:pPr>
    <w:rPr>
      <w:sz w:val="24"/>
      <w:szCs w:val="24"/>
      <w:lang w:eastAsia="en-US"/>
    </w:rPr>
  </w:style>
  <w:style w:type="character" w:styleId="860">
    <w:name w:val="Body Text Char1"/>
    <w:uiPriority w:val="99"/>
    <w:semiHidden/>
    <w:qFormat/>
    <w:pPr>
      <w:pBdr/>
      <w:spacing/>
      <w:ind/>
    </w:pPr>
    <w:rPr>
      <w:sz w:val="24"/>
      <w:szCs w:val="24"/>
      <w:lang w:val="en-US" w:eastAsia="en-US"/>
    </w:rPr>
  </w:style>
  <w:style w:type="character" w:styleId="861">
    <w:name w:val="Основной текст с отступом 2 Знак"/>
    <w:uiPriority w:val="99"/>
    <w:semiHidden/>
    <w:qFormat/>
    <w:pPr>
      <w:pBdr/>
      <w:spacing/>
      <w:ind/>
    </w:pPr>
    <w:rPr>
      <w:rFonts w:ascii="Arial" w:hAnsi="Arial" w:cs="Arial"/>
      <w:lang w:val="en-US" w:eastAsia="ru-RU"/>
    </w:rPr>
  </w:style>
  <w:style w:type="character" w:styleId="862">
    <w:name w:val="Body Text Indent 2 Char"/>
    <w:uiPriority w:val="99"/>
    <w:semiHidden/>
    <w:qFormat/>
    <w:pPr>
      <w:pBdr/>
      <w:spacing/>
      <w:ind/>
    </w:pPr>
    <w:rPr>
      <w:sz w:val="24"/>
      <w:szCs w:val="24"/>
      <w:lang w:eastAsia="en-US"/>
    </w:rPr>
  </w:style>
  <w:style w:type="character" w:styleId="863">
    <w:name w:val="Body Text Indent 2 Char1"/>
    <w:uiPriority w:val="99"/>
    <w:semiHidden/>
    <w:qFormat/>
    <w:pPr>
      <w:pBdr/>
      <w:spacing/>
      <w:ind/>
    </w:pPr>
    <w:rPr>
      <w:sz w:val="24"/>
      <w:szCs w:val="24"/>
      <w:lang w:val="en-US" w:eastAsia="en-US"/>
    </w:rPr>
  </w:style>
  <w:style w:type="character" w:styleId="864">
    <w:name w:val="ConsNormal Знак"/>
    <w:qFormat/>
    <w:pPr>
      <w:pBdr/>
      <w:spacing/>
      <w:ind/>
    </w:pPr>
    <w:rPr>
      <w:rFonts w:ascii="Arial" w:hAnsi="Arial" w:cs="Arial"/>
      <w:lang w:val="ru-RU" w:eastAsia="ru-RU" w:bidi="ar-SA"/>
    </w:rPr>
  </w:style>
  <w:style w:type="character" w:styleId="865">
    <w:name w:val="Footer Char"/>
    <w:uiPriority w:val="99"/>
    <w:semiHidden/>
    <w:qFormat/>
    <w:pPr>
      <w:pBdr/>
      <w:spacing/>
      <w:ind/>
    </w:pPr>
    <w:rPr>
      <w:sz w:val="24"/>
      <w:szCs w:val="24"/>
      <w:lang w:eastAsia="en-US"/>
    </w:rPr>
  </w:style>
  <w:style w:type="character" w:styleId="866">
    <w:name w:val="Нижний колонтитул Знак"/>
    <w:uiPriority w:val="99"/>
    <w:semiHidden/>
    <w:qFormat/>
    <w:pPr>
      <w:pBdr/>
      <w:spacing/>
      <w:ind/>
    </w:pPr>
    <w:rPr>
      <w:sz w:val="24"/>
      <w:szCs w:val="24"/>
      <w:lang w:val="en-US" w:eastAsia="en-US"/>
    </w:rPr>
  </w:style>
  <w:style w:type="character" w:styleId="867">
    <w:name w:val="Номер страницы"/>
    <w:uiPriority w:val="99"/>
    <w:pPr>
      <w:pBdr/>
      <w:spacing/>
      <w:ind/>
    </w:pPr>
  </w:style>
  <w:style w:type="character" w:styleId="868">
    <w:name w:val="WW-Absatz-Standardschriftart111"/>
    <w:uiPriority w:val="99"/>
    <w:qFormat/>
    <w:pPr>
      <w:pBdr/>
      <w:spacing/>
      <w:ind/>
    </w:pPr>
  </w:style>
  <w:style w:type="character" w:styleId="869">
    <w:name w:val="Просмотренная гиперссылка"/>
    <w:qFormat/>
    <w:pPr>
      <w:pBdr/>
      <w:spacing/>
      <w:ind/>
    </w:pPr>
    <w:rPr>
      <w:color w:val="800080"/>
      <w:u w:val="single"/>
    </w:rPr>
  </w:style>
  <w:style w:type="character" w:styleId="870">
    <w:name w:val="Строгий"/>
    <w:qFormat/>
    <w:pPr>
      <w:pBdr/>
      <w:spacing/>
      <w:ind/>
    </w:pPr>
    <w:rPr>
      <w:b/>
      <w:bCs/>
    </w:rPr>
  </w:style>
  <w:style w:type="character" w:styleId="871">
    <w:name w:val="Текст выноски Знак"/>
    <w:uiPriority w:val="99"/>
    <w:semiHidden/>
    <w:qFormat/>
    <w:pPr>
      <w:pBdr/>
      <w:spacing/>
      <w:ind/>
    </w:pPr>
    <w:rPr>
      <w:rFonts w:ascii="Segoe UI" w:hAnsi="Segoe UI" w:cs="Segoe UI"/>
      <w:sz w:val="18"/>
      <w:szCs w:val="18"/>
      <w:lang w:eastAsia="en-US"/>
    </w:rPr>
  </w:style>
  <w:style w:type="character" w:styleId="872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873">
    <w:name w:val="Заголовок"/>
    <w:basedOn w:val="820"/>
    <w:next w:val="874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874">
    <w:name w:val="Body Text"/>
    <w:basedOn w:val="820"/>
    <w:uiPriority w:val="99"/>
    <w:pPr>
      <w:pBdr/>
      <w:spacing w:after="120" w:before="0"/>
      <w:ind/>
    </w:pPr>
    <w:rPr>
      <w:rFonts w:ascii="RussianRail G Pro" w:hAnsi="RussianRail G Pro"/>
      <w:sz w:val="22"/>
      <w:szCs w:val="22"/>
      <w:lang w:val="en-US"/>
    </w:rPr>
  </w:style>
  <w:style w:type="paragraph" w:styleId="875">
    <w:name w:val="List"/>
    <w:basedOn w:val="874"/>
    <w:pPr>
      <w:pBdr/>
      <w:spacing/>
      <w:ind/>
    </w:pPr>
    <w:rPr>
      <w:rFonts w:ascii="PT Astra Serif" w:hAnsi="PT Astra Serif" w:cs="Noto Sans Devanagari"/>
    </w:rPr>
  </w:style>
  <w:style w:type="paragraph" w:styleId="876">
    <w:name w:val="Caption"/>
    <w:basedOn w:val="82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877">
    <w:name w:val="Указатель"/>
    <w:basedOn w:val="820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878">
    <w:name w:val="No Spacing"/>
    <w:uiPriority w:val="1"/>
    <w:qFormat/>
    <w:pPr>
      <w:widowControl w:val="true"/>
      <w:pBdr/>
      <w:spacing w:after="0" w:before="0" w:line="240" w:lineRule="auto"/>
      <w:ind/>
      <w:jc w:val="left"/>
    </w:pPr>
    <w:rPr>
      <w:rFonts w:ascii="Times New Roman" w:hAnsi="Times New Roman" w:eastAsia="Tahoma" w:cs="Noto Sans Devanagari"/>
      <w:color w:val="auto"/>
      <w:sz w:val="24"/>
      <w:szCs w:val="20"/>
      <w:lang w:val="ru-RU" w:eastAsia="zh-CN" w:bidi="ar-SA"/>
    </w:rPr>
  </w:style>
  <w:style w:type="paragraph" w:styleId="879">
    <w:name w:val="Title"/>
    <w:basedOn w:val="82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880">
    <w:name w:val="Subtitle"/>
    <w:basedOn w:val="820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881">
    <w:name w:val="Quote"/>
    <w:basedOn w:val="820"/>
    <w:uiPriority w:val="29"/>
    <w:qFormat/>
    <w:pPr>
      <w:pBdr/>
      <w:spacing/>
      <w:ind w:right="720" w:firstLine="0" w:left="720"/>
    </w:pPr>
    <w:rPr>
      <w:i/>
    </w:rPr>
  </w:style>
  <w:style w:type="paragraph" w:styleId="882">
    <w:name w:val="Intense Quote"/>
    <w:basedOn w:val="82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0" w:before="0"/>
      <w:ind w:right="720" w:firstLine="0" w:left="720"/>
    </w:pPr>
    <w:rPr>
      <w:i/>
    </w:rPr>
  </w:style>
  <w:style w:type="paragraph" w:styleId="883">
    <w:name w:val="Верхний и нижний колонтитулы"/>
    <w:basedOn w:val="820"/>
    <w:qFormat/>
    <w:pPr>
      <w:pBdr/>
      <w:spacing/>
      <w:ind/>
    </w:pPr>
  </w:style>
  <w:style w:type="paragraph" w:styleId="884">
    <w:name w:val="Header"/>
    <w:basedOn w:val="820"/>
    <w:pPr>
      <w:pBdr/>
      <w:tabs>
        <w:tab w:val="clear" w:leader="none" w:pos="709"/>
        <w:tab w:val="center" w:leader="none" w:pos="4677"/>
        <w:tab w:val="right" w:leader="none" w:pos="9355"/>
      </w:tabs>
      <w:spacing/>
      <w:ind/>
    </w:pPr>
  </w:style>
  <w:style w:type="paragraph" w:styleId="885">
    <w:name w:val="Footer"/>
    <w:basedOn w:val="820"/>
    <w:uiPriority w:val="99"/>
    <w:pPr>
      <w:pBdr/>
      <w:tabs>
        <w:tab w:val="clear" w:leader="none" w:pos="709"/>
        <w:tab w:val="center" w:leader="none" w:pos="4677"/>
        <w:tab w:val="right" w:leader="none" w:pos="9355"/>
      </w:tabs>
      <w:spacing/>
      <w:ind/>
    </w:pPr>
    <w:rPr>
      <w:lang w:val="en-US"/>
    </w:rPr>
  </w:style>
  <w:style w:type="paragraph" w:styleId="886">
    <w:name w:val="footnote text"/>
    <w:basedOn w:val="820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887">
    <w:name w:val="endnote text"/>
    <w:basedOn w:val="820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888">
    <w:name w:val="toc 1"/>
    <w:basedOn w:val="820"/>
    <w:uiPriority w:val="39"/>
    <w:unhideWhenUsed/>
    <w:pPr>
      <w:pBdr/>
      <w:spacing w:after="57" w:before="0"/>
      <w:ind w:right="0" w:firstLine="0" w:left="0"/>
    </w:pPr>
  </w:style>
  <w:style w:type="paragraph" w:styleId="889">
    <w:name w:val="toc 2"/>
    <w:basedOn w:val="820"/>
    <w:uiPriority w:val="39"/>
    <w:unhideWhenUsed/>
    <w:pPr>
      <w:pBdr/>
      <w:spacing w:after="57" w:before="0"/>
      <w:ind w:right="0" w:firstLine="0" w:left="283"/>
    </w:pPr>
  </w:style>
  <w:style w:type="paragraph" w:styleId="890">
    <w:name w:val="toc 3"/>
    <w:basedOn w:val="820"/>
    <w:uiPriority w:val="39"/>
    <w:unhideWhenUsed/>
    <w:pPr>
      <w:pBdr/>
      <w:spacing w:after="57" w:before="0"/>
      <w:ind w:right="0" w:firstLine="0" w:left="567"/>
    </w:pPr>
  </w:style>
  <w:style w:type="paragraph" w:styleId="891">
    <w:name w:val="toc 4"/>
    <w:basedOn w:val="820"/>
    <w:uiPriority w:val="39"/>
    <w:unhideWhenUsed/>
    <w:pPr>
      <w:pBdr/>
      <w:spacing w:after="57" w:before="0"/>
      <w:ind w:right="0" w:firstLine="0" w:left="850"/>
    </w:pPr>
  </w:style>
  <w:style w:type="paragraph" w:styleId="892">
    <w:name w:val="toc 5"/>
    <w:basedOn w:val="820"/>
    <w:uiPriority w:val="39"/>
    <w:unhideWhenUsed/>
    <w:pPr>
      <w:pBdr/>
      <w:spacing w:after="57" w:before="0"/>
      <w:ind w:right="0" w:firstLine="0" w:left="1134"/>
    </w:pPr>
  </w:style>
  <w:style w:type="paragraph" w:styleId="893">
    <w:name w:val="toc 6"/>
    <w:basedOn w:val="820"/>
    <w:uiPriority w:val="39"/>
    <w:unhideWhenUsed/>
    <w:pPr>
      <w:pBdr/>
      <w:spacing w:after="57" w:before="0"/>
      <w:ind w:right="0" w:firstLine="0" w:left="1417"/>
    </w:pPr>
  </w:style>
  <w:style w:type="paragraph" w:styleId="894">
    <w:name w:val="toc 7"/>
    <w:basedOn w:val="820"/>
    <w:uiPriority w:val="39"/>
    <w:unhideWhenUsed/>
    <w:pPr>
      <w:pBdr/>
      <w:spacing w:after="57" w:before="0"/>
      <w:ind w:right="0" w:firstLine="0" w:left="1701"/>
    </w:pPr>
  </w:style>
  <w:style w:type="paragraph" w:styleId="895">
    <w:name w:val="toc 8"/>
    <w:basedOn w:val="820"/>
    <w:uiPriority w:val="39"/>
    <w:unhideWhenUsed/>
    <w:pPr>
      <w:pBdr/>
      <w:spacing w:after="57" w:before="0"/>
      <w:ind w:right="0" w:firstLine="0" w:left="1984"/>
    </w:pPr>
  </w:style>
  <w:style w:type="paragraph" w:styleId="896">
    <w:name w:val="toc 9"/>
    <w:basedOn w:val="820"/>
    <w:uiPriority w:val="39"/>
    <w:unhideWhenUsed/>
    <w:pPr>
      <w:pBdr/>
      <w:spacing w:after="57" w:before="0"/>
      <w:ind w:right="0" w:firstLine="0" w:left="2268"/>
    </w:pPr>
  </w:style>
  <w:style w:type="paragraph" w:styleId="897">
    <w:name w:val="TOC Heading"/>
    <w:uiPriority w:val="39"/>
    <w:unhideWhenUsed/>
    <w:qFormat/>
    <w:pPr>
      <w:widowControl w:val="true"/>
      <w:pBdr/>
      <w:spacing w:after="0" w:before="0"/>
      <w:ind/>
      <w:jc w:val="left"/>
    </w:pPr>
    <w:rPr>
      <w:rFonts w:ascii="Times New Roman" w:hAnsi="Times New Roman" w:eastAsia="Tahoma" w:cs="Noto Sans Devanagari"/>
      <w:color w:val="auto"/>
      <w:sz w:val="24"/>
      <w:szCs w:val="20"/>
      <w:lang w:val="ru-RU" w:eastAsia="zh-CN" w:bidi="ar-SA"/>
    </w:rPr>
  </w:style>
  <w:style w:type="paragraph" w:styleId="898">
    <w:name w:val="table of figures"/>
    <w:basedOn w:val="820"/>
    <w:uiPriority w:val="99"/>
    <w:unhideWhenUsed/>
    <w:qFormat/>
    <w:pPr>
      <w:pBdr/>
      <w:spacing w:after="0" w:afterAutospacing="0" w:before="0"/>
      <w:ind/>
    </w:pPr>
  </w:style>
  <w:style w:type="paragraph" w:styleId="899">
    <w:name w:val="Название,Приложения"/>
    <w:basedOn w:val="820"/>
    <w:uiPriority w:val="99"/>
    <w:qFormat/>
    <w:pPr>
      <w:pageBreakBefore w:val="true"/>
      <w:pBdr/>
      <w:spacing/>
      <w:ind/>
      <w:jc w:val="right"/>
    </w:pPr>
    <w:rPr>
      <w:lang w:val="en-US" w:eastAsia="en-US"/>
    </w:rPr>
  </w:style>
  <w:style w:type="paragraph" w:styleId="900">
    <w:name w:val="Основной текст с отступом 2"/>
    <w:basedOn w:val="820"/>
    <w:uiPriority w:val="99"/>
    <w:semiHidden/>
    <w:qFormat/>
    <w:pPr>
      <w:keepLines w:val="true"/>
      <w:pBdr/>
      <w:spacing/>
      <w:ind w:firstLine="851"/>
      <w:jc w:val="both"/>
    </w:pPr>
    <w:rPr>
      <w:rFonts w:ascii="Arial" w:hAnsi="Arial"/>
      <w:sz w:val="20"/>
      <w:szCs w:val="20"/>
      <w:lang w:val="en-US" w:eastAsia="ru-RU"/>
    </w:rPr>
  </w:style>
  <w:style w:type="paragraph" w:styleId="901">
    <w:name w:val="Абзац списка"/>
    <w:basedOn w:val="820"/>
    <w:uiPriority w:val="99"/>
    <w:qFormat/>
    <w:pPr>
      <w:pBdr/>
      <w:spacing/>
      <w:ind w:firstLine="0" w:left="720"/>
    </w:pPr>
  </w:style>
  <w:style w:type="paragraph" w:styleId="902">
    <w:name w:val="заголовок 3"/>
    <w:basedOn w:val="820"/>
    <w:uiPriority w:val="99"/>
    <w:qFormat/>
    <w:pPr>
      <w:keepNext w:val="true"/>
      <w:pBdr/>
      <w:spacing/>
      <w:ind/>
    </w:pPr>
    <w:rPr>
      <w:b/>
      <w:bCs/>
      <w:sz w:val="28"/>
      <w:szCs w:val="28"/>
      <w:lang w:eastAsia="ru-RU"/>
    </w:rPr>
  </w:style>
  <w:style w:type="paragraph" w:styleId="903">
    <w:name w:val="заголовок 7"/>
    <w:basedOn w:val="820"/>
    <w:uiPriority w:val="99"/>
    <w:qFormat/>
    <w:pPr>
      <w:keepNext w:val="true"/>
      <w:widowControl w:val="false"/>
      <w:pBdr/>
      <w:tabs>
        <w:tab w:val="clear" w:leader="none" w:pos="709"/>
        <w:tab w:val="left" w:leader="none" w:pos="1476"/>
      </w:tabs>
      <w:spacing/>
      <w:ind/>
    </w:pPr>
    <w:rPr>
      <w:b/>
      <w:bCs/>
      <w:lang w:eastAsia="ru-RU"/>
    </w:rPr>
  </w:style>
  <w:style w:type="paragraph" w:styleId="904">
    <w:name w:val="Body Text 21"/>
    <w:basedOn w:val="820"/>
    <w:uiPriority w:val="99"/>
    <w:qFormat/>
    <w:pPr>
      <w:pBdr/>
      <w:spacing/>
      <w:ind w:firstLine="720"/>
      <w:jc w:val="both"/>
    </w:pPr>
    <w:rPr>
      <w:lang w:eastAsia="ru-RU"/>
    </w:rPr>
  </w:style>
  <w:style w:type="paragraph" w:styleId="905">
    <w:name w:val="ConsNormal"/>
    <w:qFormat/>
    <w:pPr>
      <w:widowControl w:val="true"/>
      <w:pBdr/>
      <w:spacing w:after="0" w:before="0"/>
      <w:ind w:right="19772" w:firstLine="720"/>
      <w:jc w:val="left"/>
    </w:pPr>
    <w:rPr>
      <w:rFonts w:ascii="Arial" w:hAnsi="Arial" w:eastAsia="Tahoma" w:cs="Arial"/>
      <w:color w:val="auto"/>
      <w:sz w:val="24"/>
      <w:szCs w:val="20"/>
      <w:lang w:val="ru-RU" w:eastAsia="ru-RU" w:bidi="ar-SA"/>
    </w:rPr>
  </w:style>
  <w:style w:type="paragraph" w:styleId="906">
    <w:name w:val="FR3"/>
    <w:uiPriority w:val="99"/>
    <w:qFormat/>
    <w:pPr>
      <w:widowControl w:val="false"/>
      <w:pBdr/>
      <w:spacing w:after="0" w:before="20"/>
      <w:ind w:firstLine="0" w:left="800"/>
      <w:jc w:val="left"/>
    </w:pPr>
    <w:rPr>
      <w:rFonts w:ascii="Arial" w:hAnsi="Arial" w:eastAsia="Tahoma" w:cs="Arial"/>
      <w:color w:val="auto"/>
      <w:sz w:val="24"/>
      <w:szCs w:val="20"/>
      <w:lang w:val="ru-RU" w:eastAsia="ru-RU" w:bidi="ar-SA"/>
    </w:rPr>
  </w:style>
  <w:style w:type="paragraph" w:styleId="907">
    <w:name w:val="ConsPlusNormal"/>
    <w:qFormat/>
    <w:pPr>
      <w:widowControl w:val="true"/>
      <w:pBdr/>
      <w:spacing w:after="0" w:before="0"/>
      <w:ind w:firstLine="720"/>
      <w:jc w:val="left"/>
    </w:pPr>
    <w:rPr>
      <w:rFonts w:ascii="Arial" w:hAnsi="Arial" w:eastAsia="Tahoma" w:cs="Arial"/>
      <w:color w:val="auto"/>
      <w:sz w:val="24"/>
      <w:szCs w:val="20"/>
      <w:lang w:val="ru-RU" w:eastAsia="ru-RU" w:bidi="ar-SA"/>
    </w:rPr>
  </w:style>
  <w:style w:type="paragraph" w:styleId="908">
    <w:name w:val="ConsPlusNonformat"/>
    <w:uiPriority w:val="99"/>
    <w:qFormat/>
    <w:pPr>
      <w:widowControl w:val="false"/>
      <w:pBdr/>
      <w:spacing w:after="0" w:before="0"/>
      <w:ind/>
      <w:jc w:val="left"/>
    </w:pPr>
    <w:rPr>
      <w:rFonts w:ascii="Courier New" w:hAnsi="Courier New" w:eastAsia="Tahoma" w:cs="Courier New"/>
      <w:color w:val="auto"/>
      <w:sz w:val="24"/>
      <w:szCs w:val="20"/>
      <w:lang w:val="ru-RU" w:eastAsia="ru-RU" w:bidi="ar-SA"/>
    </w:rPr>
  </w:style>
  <w:style w:type="paragraph" w:styleId="909">
    <w:name w:val="ConsPlusCell"/>
    <w:uiPriority w:val="99"/>
    <w:qFormat/>
    <w:pPr>
      <w:widowControl w:val="false"/>
      <w:pBdr/>
      <w:spacing w:after="0" w:before="0"/>
      <w:ind/>
      <w:jc w:val="left"/>
    </w:pPr>
    <w:rPr>
      <w:rFonts w:ascii="Arial" w:hAnsi="Arial" w:eastAsia="Tahoma" w:cs="Arial"/>
      <w:color w:val="auto"/>
      <w:sz w:val="24"/>
      <w:szCs w:val="20"/>
      <w:lang w:val="ru-RU" w:eastAsia="ru-RU" w:bidi="ar-SA"/>
    </w:rPr>
  </w:style>
  <w:style w:type="paragraph" w:styleId="910">
    <w:name w:val="Знак Знак Знак Знак Знак Знак Знак Знак Знак Знак"/>
    <w:basedOn w:val="820"/>
    <w:uiPriority w:val="99"/>
    <w:qFormat/>
    <w:pPr>
      <w:pBdr/>
      <w:spacing w:after="160" w:before="0" w:line="240" w:lineRule="exact"/>
      <w:ind/>
      <w:jc w:val="left"/>
    </w:pPr>
    <w:rPr>
      <w:rFonts w:ascii="Verdana" w:hAnsi="Verdana" w:cs="Verdana"/>
      <w:sz w:val="20"/>
      <w:szCs w:val="20"/>
      <w:lang w:val="en-US"/>
    </w:rPr>
  </w:style>
  <w:style w:type="paragraph" w:styleId="911">
    <w:name w:val="Знак"/>
    <w:basedOn w:val="820"/>
    <w:uiPriority w:val="99"/>
    <w:qFormat/>
    <w:pPr>
      <w:pBdr/>
      <w:spacing w:after="160" w:before="0" w:line="240" w:lineRule="exact"/>
      <w:ind/>
      <w:jc w:val="left"/>
    </w:pPr>
    <w:rPr>
      <w:rFonts w:ascii="Verdana" w:hAnsi="Verdana" w:cs="Verdana"/>
      <w:lang w:val="en-US"/>
    </w:rPr>
  </w:style>
  <w:style w:type="paragraph" w:styleId="912">
    <w:name w:val="Нормальный (таблица)"/>
    <w:basedOn w:val="820"/>
    <w:qFormat/>
    <w:pPr>
      <w:widowControl w:val="false"/>
      <w:pBdr/>
      <w:spacing/>
      <w:ind/>
      <w:jc w:val="both"/>
    </w:pPr>
    <w:rPr>
      <w:rFonts w:ascii="Arial" w:hAnsi="Arial" w:eastAsia="Calibri" w:cs="Arial"/>
      <w:lang w:eastAsia="ru-RU"/>
    </w:rPr>
  </w:style>
  <w:style w:type="paragraph" w:styleId="913">
    <w:name w:val="Прижатый влево"/>
    <w:basedOn w:val="820"/>
    <w:qFormat/>
    <w:pPr>
      <w:widowControl w:val="false"/>
      <w:pBdr/>
      <w:spacing/>
      <w:ind/>
      <w:jc w:val="left"/>
    </w:pPr>
    <w:rPr>
      <w:rFonts w:ascii="Arial" w:hAnsi="Arial" w:eastAsia="Calibri" w:cs="Arial"/>
      <w:lang w:eastAsia="ru-RU"/>
    </w:rPr>
  </w:style>
  <w:style w:type="paragraph" w:styleId="914">
    <w:name w:val="Обычный (веб)"/>
    <w:basedOn w:val="820"/>
    <w:qFormat/>
    <w:pPr>
      <w:pBdr/>
      <w:spacing w:after="30" w:before="30"/>
      <w:ind/>
      <w:jc w:val="left"/>
    </w:pPr>
    <w:rPr>
      <w:rFonts w:eastAsia="Calibri"/>
      <w:lang w:eastAsia="ru-RU"/>
    </w:rPr>
  </w:style>
  <w:style w:type="paragraph" w:styleId="915">
    <w:name w:val="Body Text Indent"/>
    <w:basedOn w:val="820"/>
    <w:pPr>
      <w:pBdr/>
      <w:spacing w:after="120" w:before="0"/>
      <w:ind w:firstLine="0" w:left="283"/>
    </w:pPr>
  </w:style>
  <w:style w:type="paragraph" w:styleId="916">
    <w:name w:val="Основной текст 3"/>
    <w:basedOn w:val="820"/>
    <w:qFormat/>
    <w:pPr>
      <w:pBdr/>
      <w:spacing w:after="120" w:before="0"/>
      <w:ind/>
      <w:jc w:val="left"/>
    </w:pPr>
    <w:rPr>
      <w:sz w:val="16"/>
      <w:szCs w:val="16"/>
      <w:lang w:eastAsia="ru-RU"/>
    </w:rPr>
  </w:style>
  <w:style w:type="paragraph" w:styleId="917">
    <w:name w:val="ConsNonformat"/>
    <w:qFormat/>
    <w:pPr>
      <w:widowControl w:val="false"/>
      <w:pBdr/>
      <w:spacing w:after="0" w:before="0"/>
      <w:ind/>
      <w:jc w:val="left"/>
    </w:pPr>
    <w:rPr>
      <w:rFonts w:ascii="Courier New" w:hAnsi="Courier New" w:eastAsia="Calibri" w:cs="Courier New"/>
      <w:color w:val="auto"/>
      <w:sz w:val="24"/>
      <w:szCs w:val="20"/>
      <w:lang w:val="ru-RU" w:eastAsia="ru-RU" w:bidi="ar-SA"/>
    </w:rPr>
  </w:style>
  <w:style w:type="paragraph" w:styleId="918">
    <w:name w:val="ConsPlusTitle"/>
    <w:qFormat/>
    <w:pPr>
      <w:widowControl w:val="false"/>
      <w:pBdr/>
      <w:spacing w:after="0" w:before="0"/>
      <w:ind/>
      <w:jc w:val="left"/>
    </w:pPr>
    <w:rPr>
      <w:rFonts w:ascii="Times New Roman" w:hAnsi="Times New Roman" w:eastAsia="Calibri" w:cs="Noto Sans Devanagari"/>
      <w:b/>
      <w:bCs/>
      <w:color w:val="auto"/>
      <w:sz w:val="24"/>
      <w:szCs w:val="24"/>
      <w:lang w:val="ru-RU" w:eastAsia="ru-RU" w:bidi="ar-SA"/>
    </w:rPr>
  </w:style>
  <w:style w:type="paragraph" w:styleId="919">
    <w:name w:val="List Paragraph"/>
    <w:basedOn w:val="820"/>
    <w:qFormat/>
    <w:pPr>
      <w:widowControl w:val="false"/>
      <w:pBdr/>
      <w:spacing/>
      <w:ind w:firstLine="0" w:left="720"/>
      <w:jc w:val="left"/>
    </w:pPr>
    <w:rPr>
      <w:rFonts w:ascii="Arial" w:hAnsi="Arial" w:eastAsia="Calibri" w:cs="Arial"/>
      <w:lang w:eastAsia="ru-RU"/>
    </w:rPr>
  </w:style>
  <w:style w:type="paragraph" w:styleId="920">
    <w:name w:val="Нумерация"/>
    <w:basedOn w:val="820"/>
    <w:qFormat/>
    <w:pPr>
      <w:pBdr/>
      <w:spacing/>
      <w:ind w:firstLine="709"/>
      <w:jc w:val="both"/>
    </w:pPr>
    <w:rPr>
      <w:rFonts w:eastAsia="Calibri"/>
      <w:lang w:eastAsia="ru-RU"/>
    </w:rPr>
  </w:style>
  <w:style w:type="paragraph" w:styleId="921">
    <w:name w:val="Таблицы (моноширинный)"/>
    <w:basedOn w:val="820"/>
    <w:qFormat/>
    <w:pPr>
      <w:widowControl w:val="false"/>
      <w:pBdr/>
      <w:spacing/>
      <w:ind/>
      <w:jc w:val="both"/>
    </w:pPr>
    <w:rPr>
      <w:rFonts w:ascii="Courier New" w:hAnsi="Courier New" w:eastAsia="Calibri" w:cs="Courier New"/>
      <w:lang w:eastAsia="ru-RU"/>
    </w:rPr>
  </w:style>
  <w:style w:type="paragraph" w:styleId="922">
    <w:name w:val="çàãîëîâîê 11"/>
    <w:basedOn w:val="820"/>
    <w:qFormat/>
    <w:pPr>
      <w:keepNext w:val="true"/>
      <w:pBdr/>
      <w:spacing/>
      <w:ind/>
    </w:pPr>
    <w:rPr>
      <w:rFonts w:eastAsia="Calibri"/>
      <w:lang w:eastAsia="ru-RU"/>
    </w:rPr>
  </w:style>
  <w:style w:type="paragraph" w:styleId="923">
    <w:name w:val="заголовок 1"/>
    <w:basedOn w:val="820"/>
    <w:qFormat/>
    <w:pPr>
      <w:keepNext w:val="true"/>
      <w:pBdr/>
      <w:spacing/>
      <w:ind w:firstLine="567"/>
      <w:jc w:val="both"/>
    </w:pPr>
    <w:rPr>
      <w:rFonts w:eastAsia="Calibri"/>
      <w:lang w:eastAsia="ru-RU"/>
    </w:rPr>
  </w:style>
  <w:style w:type="paragraph" w:styleId="924">
    <w:name w:val="Текст выноски"/>
    <w:basedOn w:val="820"/>
    <w:uiPriority w:val="99"/>
    <w:semiHidden/>
    <w:unhideWhenUsed/>
    <w:qFormat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25">
    <w:name w:val="Содержимое врезки"/>
    <w:basedOn w:val="820"/>
    <w:qFormat/>
    <w:pPr>
      <w:pBdr/>
      <w:spacing/>
      <w:ind/>
    </w:pPr>
  </w:style>
  <w:style w:type="numbering" w:styleId="926">
    <w:name w:val="Нет списка"/>
    <w:uiPriority w:val="99"/>
    <w:semiHidden/>
    <w:unhideWhenUsed/>
    <w:qFormat/>
    <w:pPr>
      <w:pBdr/>
      <w:spacing/>
      <w:ind/>
    </w:pPr>
  </w:style>
  <w:style w:type="numbering" w:styleId="927" w:default="1">
    <w:name w:val="No List"/>
    <w:uiPriority w:val="99"/>
    <w:semiHidden/>
    <w:unhideWhenUsed/>
    <w:qFormat/>
    <w:pPr>
      <w:pBdr/>
      <w:spacing/>
      <w:ind/>
    </w:pPr>
  </w:style>
  <w:style w:type="table" w:styleId="928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hyperlink" Target="consultantplus://offline/ref=9EF9F267199E4927BAF68FFF1049E5A3E7BDA2ACBC43F5D6CB74BA170DCFFD6027A7D985EF43C0O5cAH" TargetMode="External"/><Relationship Id="rId10" Type="http://schemas.openxmlformats.org/officeDocument/2006/relationships/hyperlink" Target="consultantplus://offline/ref=9EF9F267199E4927BAF68FFF1049E5A3E7BDA2ACBC43F5D6CB74BA170DCFFD6027A7D985EF43C0O5cAH" TargetMode="External"/><Relationship Id="rId11" Type="http://schemas.openxmlformats.org/officeDocument/2006/relationships/hyperlink" Target="consultantplus://offline/ref=9EF9F267199E4927BAF68FFF1049E5A3E7B9ABADB143F5D6CB74BA170DCFFD6027A7DD84OEcDH" TargetMode="External"/><Relationship Id="rId12" Type="http://schemas.openxmlformats.org/officeDocument/2006/relationships/hyperlink" Target="consultantplus://offline/ref=9EF9F267199E4927BAF68FFF1049E5A3E0BCA2A8BA43F5D6CB74BA170DCFFD6027A7D985EE4BC9O5cDH" TargetMode="External"/><Relationship Id="rId13" Type="http://schemas.openxmlformats.org/officeDocument/2006/relationships/hyperlink" Target="consultantplus://offline/ref=8C89BFC02953508CF09BC4B0BFDBE4D7A686D789DD30A19AB40120DE6B64A1B5F741201F13E04077D4E746V6J9N" TargetMode="External"/><Relationship Id="rId14" Type="http://schemas.openxmlformats.org/officeDocument/2006/relationships/hyperlink" Target="consultantplus://offline/ref=9EF9F267199E4927BAF68FFF1049E5A3E7B9ABADB143F5D6CB74BA170DCFFD6027A7DD84OEcD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ONLYOFFICE/7.5.0.127</Application>
  <Company>Administraciya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Администратор</dc:creator>
  <dc:description/>
  <dc:language>ru-RU</dc:language>
  <cp:revision>66</cp:revision>
  <dcterms:created xsi:type="dcterms:W3CDTF">2019-02-12T07:11:00Z</dcterms:created>
  <dcterms:modified xsi:type="dcterms:W3CDTF">2025-03-12T13:20:23Z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Administraciya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  <property fmtid="{D5CDD505-2E9C-101B-9397-08002B2CF9AE}" pid="7" name="version">
    <vt:lpwstr>1048576</vt:lpwstr>
  </property>
</Properties>
</file>