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pBdr/>
        <w:spacing/>
        <w:ind w:hanging="5098" w:left="5103"/>
        <w:jc w:val="right"/>
        <w:rPr/>
      </w:pPr>
      <w:r>
        <w:t xml:space="preserve">УТВЕРЖДАЮ:</w:t>
      </w:r>
      <w:r/>
    </w:p>
    <w:p>
      <w:pPr>
        <w:pStyle w:val="904"/>
        <w:pBdr/>
        <w:spacing/>
        <w:ind w:hanging="5098" w:left="5103"/>
        <w:jc w:val="right"/>
        <w:rPr/>
      </w:pPr>
      <w:r>
        <w:t xml:space="preserve">                                                                                            </w:t>
      </w:r>
      <w:r>
        <w:t xml:space="preserve">Первый заместитель главы администрации  городского округа город Шарья</w:t>
      </w:r>
      <w:r/>
    </w:p>
    <w:p>
      <w:pPr>
        <w:pStyle w:val="904"/>
        <w:pBdr/>
        <w:spacing/>
        <w:ind w:hanging="5098" w:left="5103"/>
        <w:jc w:val="right"/>
        <w:rPr/>
      </w:pPr>
      <w:r>
        <w:t xml:space="preserve">__________С.П. Зеленов</w:t>
      </w:r>
      <w:r/>
    </w:p>
    <w:p>
      <w:pPr>
        <w:pStyle w:val="820"/>
        <w:pBdr/>
        <w:spacing/>
        <w:ind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20"/>
        <w:pBdr/>
        <w:spacing/>
        <w:ind/>
        <w:rPr/>
      </w:pPr>
      <w:r>
        <w:rPr>
          <w:rStyle w:val="870"/>
        </w:rPr>
        <w:t xml:space="preserve">Внесение изменений в АУКЦИОННУЮ ДОКУМЕНТАЦИЮ</w:t>
      </w:r>
      <w:r/>
    </w:p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  <w:t xml:space="preserve">о проведении</w:t>
      </w:r>
      <w:r>
        <w:rPr>
          <w:b/>
          <w:bCs/>
          <w:highlight w:val="white"/>
        </w:rPr>
        <w:t xml:space="preserve"> 05 мая </w:t>
      </w:r>
      <w:r>
        <w:rPr>
          <w:b/>
          <w:bCs/>
          <w:highlight w:val="white"/>
        </w:rPr>
        <w:t xml:space="preserve">202</w:t>
      </w:r>
      <w:r>
        <w:rPr>
          <w:b/>
          <w:bCs/>
          <w:highlight w:val="white"/>
        </w:rPr>
        <w:t xml:space="preserve">5 года а</w:t>
      </w:r>
      <w:r>
        <w:rPr>
          <w:b/>
          <w:bCs/>
        </w:rPr>
        <w:t xml:space="preserve">укциона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/>
        <w:rPr>
          <w:bCs/>
        </w:rPr>
      </w:pPr>
      <w:r>
        <w:rPr>
          <w:bCs/>
        </w:rPr>
        <w:t xml:space="preserve">Аукцион проводится:</w:t>
      </w:r>
      <w:r>
        <w:t xml:space="preserve"> </w:t>
      </w:r>
      <w:r>
        <w:rPr>
          <w:highlight w:val="none"/>
        </w:rPr>
        <w:t xml:space="preserve">05 мая 2025 </w:t>
      </w:r>
      <w:r>
        <w:rPr>
          <w:bCs/>
          <w:highlight w:val="white"/>
        </w:rPr>
        <w:t xml:space="preserve">год</w:t>
      </w:r>
      <w:r>
        <w:rPr>
          <w:bCs/>
        </w:rPr>
        <w:t xml:space="preserve">а в 10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851"/>
        <w:rPr>
          <w:rStyle w:val="870"/>
          <w:highlight w:val="yellow"/>
        </w:rPr>
      </w:pPr>
      <w:r>
        <w:rPr>
          <w:highlight w:val="yellow"/>
        </w:rPr>
      </w:r>
      <w:r>
        <w:rPr>
          <w:rStyle w:val="870"/>
          <w:highlight w:val="yellow"/>
        </w:rPr>
      </w:r>
      <w:r>
        <w:rPr>
          <w:rStyle w:val="870"/>
          <w:highlight w:val="yellow"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1. Общие сведения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1.1. Аукционная документация по проведению аукциона  на право заключения договора на размещение нестацио</w:t>
      </w:r>
      <w:r>
        <w:t xml:space="preserve">нарного торгового объекта на территории городского округа  город Шарья (далее – Аукцион) разработана в соответствие с Федеральным законом от 06.10.2003г. № 131-ФЗ «Об общих принципах организации местного самоуправления в Российской Федерации», Федеральным </w:t>
      </w:r>
      <w:hyperlink r:id="rId9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28.12.2009г. № 381-ФЗ «Об основах государственного регулирования торговой деятельности в Российской Федерации», Федеральным </w:t>
      </w:r>
      <w:hyperlink r:id="rId10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26.07.2006г. № 135-ФЗ «О защите конкуренции», </w:t>
      </w:r>
      <w:r>
        <w:rPr>
          <w:rStyle w:val="870"/>
          <w:b w:val="0"/>
        </w:rPr>
        <w:t xml:space="preserve">приказом Федеральной антимонопольной службы России 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rStyle w:val="870"/>
          <w:b w:val="0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870"/>
          <w:b w:val="0"/>
          <w:sz w:val="20"/>
          <w:szCs w:val="20"/>
        </w:rPr>
        <w:t xml:space="preserve"> </w:t>
      </w:r>
      <w:r>
        <w:t xml:space="preserve">п</w:t>
      </w:r>
      <w:r>
        <w:rPr>
          <w:rStyle w:val="870"/>
          <w:b w:val="0"/>
          <w:bCs w:val="0"/>
        </w:rPr>
        <w:t xml:space="preserve">остановлением администрации городского округа город Шарья от 28.04.2017г. </w:t>
      </w:r>
      <w:r>
        <w:t xml:space="preserve">№ 301 «Об утверждении </w:t>
      </w:r>
      <w:r>
        <w:rPr>
          <w:rStyle w:val="870"/>
          <w:b w:val="0"/>
          <w:bCs w:val="0"/>
        </w:rPr>
        <w:t xml:space="preserve">Порядка размещения торговых нестационарных объектов на территории городского округа город Шарья»</w:t>
      </w:r>
      <w:r>
        <w:t xml:space="preserve">, </w:t>
      </w:r>
      <w:r>
        <w:rPr>
          <w:rStyle w:val="870"/>
          <w:b w:val="0"/>
          <w:bCs w:val="0"/>
        </w:rPr>
        <w:t xml:space="preserve">постановлением администрации городского округа город Шарья от </w:t>
      </w:r>
      <w:r>
        <w:t xml:space="preserve">10.05.2017г. № 333 «О порядке организации и проведении аукциона на право заключения договора на размещение нестационарного торгового объекта на территории городского округа город Шарья Костромской области». 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1.2. Аукцион является открытым по составу Участников и по форме подачи предложений о цене лота.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1.3. Организатором аукциона является администрации </w:t>
      </w:r>
      <w:r>
        <w:rPr>
          <w:rStyle w:val="870"/>
          <w:b w:val="0"/>
          <w:bCs w:val="0"/>
        </w:rPr>
        <w:t xml:space="preserve">городского округа город Шарья (далее – Организатор аукциона)</w:t>
      </w:r>
      <w:r>
        <w:t xml:space="preserve">, адрес: 157500, Костромская обл., г. Шарья, ул. Октябрьская, д.21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1.4. Уполномоченным органом по проведению аукциона на право заключения договора на размещение нестационарного торгового объекта, приему заявок, оформлению и выдаче договоров, ведению реестра договоров, контролю за исполнением условий договоров</w:t>
      </w:r>
      <w:r>
        <w:t xml:space="preserve"> на размещение нестационарных торговых объектов является отдел экономического развития администрации городского округа город Шарья (далее – Уполномоченный орган) расположенный по адресу: г. Шарья, ул. Ленина, 13, каб.46, контактный телефон 8(49449) 58-934.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1.4.  Извещение о проведении Аукциона размещается Уполномоченным органом на официальном сайте администрации городского округа город Шарья (https://sharya.kostroma.gov.ru) и в газете «Ведомости Шарьи».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1.5. Организатор аукциона вправе принять решение о внесении изменений в извещение о проведении Аукциона не позднее, чем за пять </w:t>
      </w:r>
      <w:r>
        <w:t xml:space="preserve">календарных дней до даты окончания подачи заявок на участие в Аукционе. В течение одного дня с даты принятия указанного решения такие изменения размещаются Уполномоченным органом на официальном сайте администрации городского округа город Шарья и в газете «</w:t>
      </w:r>
      <w:r>
        <w:t xml:space="preserve">Ведомости Шарьи». При этом срок подачи заявок должен быть продлен таким образом, чтобы с даты размещения внесенных изменений в извещение о проведении Аукциона до даты окончания подачи заявок в участие в Аукционе он составлял не менее семи календарных дней.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1.6. Организатор аукциона вправе отказаться от проведения Аукц</w:t>
      </w:r>
      <w:r>
        <w:t xml:space="preserve">иона не позднее, чем за пять календарных дней до даты окончания срока подачи заявок на участие в Аукционе. Извещение об отказе от проведения Аукциона размещается Уполномоченным органом на официальном сайте Администрации и в газете «Ведомости Шарьи» в течен</w:t>
      </w:r>
      <w:r>
        <w:t xml:space="preserve">ие одного дня с даты принятия решения об отказе от проведения Аукциона. В данном случае Организатор возвращает Участникам денежные средства, внесенные в качестве задатка, в течение пяти рабочих дней с даты принятия решения об отказе от проведения Аукциона.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1.7. Аукционная документа</w:t>
      </w:r>
      <w:r>
        <w:t xml:space="preserve">ция предоставляется уполномоченным органом бесплатно в рабочие дни с 08 часов 00 минут до 12 часов 00 минут и с 13 часов 00 минут до 17 часов 00 минут по московскому времени со дня, следующего за днем размещения на официальном сайте извещения о проведении </w:t>
      </w:r>
      <w:r>
        <w:t xml:space="preserve">аукциона, по адресу: Шарья, улица Ленина, 13, кабинет 46, в бумажной или электронной форме (на носитель заинтересованного лица). Аукционная документация размещена и доступна для ознакомления на официальном сайте администрации городского округа город Шарья </w:t>
      </w:r>
      <w:r>
        <w:rPr>
          <w:u w:val="single"/>
        </w:rPr>
        <w:t xml:space="preserve">(https://sharya.kostroma.gov.ru)</w:t>
      </w:r>
      <w:r>
        <w:t xml:space="preserve"> и в газете «Ведомости Шарьи».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1.8. Любое заинте</w:t>
      </w:r>
      <w:r>
        <w:t xml:space="preserve">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</w:t>
      </w:r>
      <w:r>
        <w:t xml:space="preserve">циона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 чем за три рабочих дня до даты окончания срока подачи заявок на участие в Аукционе.</w:t>
      </w:r>
      <w:r/>
    </w:p>
    <w:p>
      <w:pPr>
        <w:pStyle w:val="907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P197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1.9.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</w:t>
      </w:r>
      <w:r>
        <w:rPr>
          <w:rFonts w:ascii="Times New Roman" w:hAnsi="Times New Roman" w:cs="Times New Roman"/>
          <w:sz w:val="24"/>
          <w:szCs w:val="24"/>
        </w:rPr>
        <w:t xml:space="preserve">низатором Аукциона на официальном сайте администрации городского округа город Шарья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0"/>
        <w:pBdr/>
        <w:spacing/>
        <w:ind w:firstLine="851"/>
        <w:jc w:val="both"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2. Требования к Участникам Аукциона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2.1. Участниками Аукциона могут быть любые юридические лица независимо от организационно-правовой формы, формы собственности, м</w:t>
      </w:r>
      <w:r>
        <w:t xml:space="preserve">еста нахождения и индивидуальные предприниматели (далее – Участники), претендующие на заключение договора на размещение нестационарного торгового объекта на территории городского округа город Шарья (далее – Договор) и подавшие заявку на участие в Аукционе.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2.2. При проведении Аукциона устанавливаются следующие требования к Участникам: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1) в отношении Участников не должна проводиться процедура банкротства, ликвидации и реорганизации;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2)  деятельность Участника не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аукционе;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3) Участник обязан внести задаток в сумме двадцать процентов начальной (минимальной) цены Договора.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2.3. Участник не допускается Комиссией к участию в аукционе в случаях: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1) непредставления документов, определенных п.4.2. настоящей аукционной документации, либо наличия в таких документах недостоверных сведений;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2) несоответствия требованиям, указанным в п.3.2. настоящей аукционной документации;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3) несоответствия заявки требованиям аукционной документации, в том числе наличия в таких заявках предложения о цене Договора ниже начальной (минимальной) цены Договора;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5) подачи заявки после установленного в извещении о проведении Аукциона срока.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2.4. Отказ в допуске к участию в Аукционе по иным основаниям, кроме случаев, указанных в пункте 2.3. настоящей аукционной документации, не допускается.</w:t>
      </w:r>
      <w:r/>
    </w:p>
    <w:p>
      <w:pPr>
        <w:pStyle w:val="907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 случае установления факта недостоверности сведений, содержащихся в документах, представленных Участником, Комиссия обязана отстранить такого Участника от участия в Аукционе на любом этапе его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отстранении Участника от участия в Аукционе подлежит размещению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городского округа город Шарья в информационно-телекоммуникационной сети Интернет и в газете «Ведомости Шарьи»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0"/>
        <w:pBdr/>
        <w:spacing/>
        <w:ind w:firstLine="851"/>
        <w:jc w:val="both"/>
        <w:rPr/>
      </w:pPr>
      <w:r/>
      <w:r/>
    </w:p>
    <w:p>
      <w:pPr>
        <w:pStyle w:val="820"/>
        <w:pBdr/>
        <w:spacing/>
        <w:ind w:firstLine="851"/>
        <w:rPr>
          <w:rStyle w:val="870"/>
        </w:rPr>
      </w:pPr>
      <w:r>
        <w:rPr>
          <w:rStyle w:val="870"/>
        </w:rPr>
        <w:t xml:space="preserve">Статья 3.  Требования к содержанию и составу заявки на участие в Аукционе</w:t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360" w:left="0"/>
        <w:jc w:val="both"/>
        <w:outlineLvl w:val="1"/>
        <w:rPr/>
      </w:pPr>
      <w:r>
        <w:t xml:space="preserve">3.1. Участник представляет Уполномоченному органу заявку на участие в Аукционе по   форме (Приложение № 1 к аукционной документации) не позднее даты, указанной в извещении о проведении Аукциона.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3.2.</w:t>
      </w:r>
      <w:r>
        <w:rPr>
          <w:sz w:val="20"/>
          <w:szCs w:val="20"/>
        </w:rPr>
        <w:t xml:space="preserve"> </w:t>
      </w:r>
      <w:r>
        <w:t xml:space="preserve">Для участия в Аукционе Участники представ</w:t>
      </w:r>
      <w:r>
        <w:t xml:space="preserve">ляют заявку только в запечатанном конверте, на котором указывается наименование предмета Аукциона, на участие в котором подается заявка, а также наименование Участника. Номер лота (при наличии нескольких лотов). Заявка должна содержать следующие документы: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1) сведения и документы об Участнике: фирменное наименование </w:t>
      </w:r>
      <w:r>
        <w:t xml:space="preserve">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индивидуального предпринимателя), номер контактного телефона;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2) полученную не ранее чем за шесть месяцев до даты размещения на официальном сайте Администрации и в газете «Ведомости Шарьи» извещения о проведении аукциона выписку из Единого государственного рее</w:t>
      </w:r>
      <w:r>
        <w:t xml:space="preserve">стра юридических лиц или нотариально заверенную копию такой выписки (для юридических лиц), или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3) копии учредительных документов Участника;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4) документ, подтверждающий полномочия лица на осуществление </w:t>
      </w:r>
      <w:r>
        <w:t xml:space="preserve">действий от имени Участника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</w:t>
      </w:r>
      <w:r>
        <w:t xml:space="preserve">дитель). В случае если от имени Участника действует иное лицо, заявка должна содержать также доверенность на осуществление действий от имени Участника, заверенная печатью Участника и подписанную руководителем Участника (для юридических лиц) или уполномочен</w:t>
      </w:r>
      <w:r>
        <w:t xml:space="preserve">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5) за</w:t>
      </w:r>
      <w:r>
        <w:t xml:space="preserve">явление об отсутствии решения о ликвидации Участника, об отсутствии решения арбитражного суда о признании Участника банкротом и об открытии конкурсного производства, об отсутствии решения о приостановлении деятельности Участника в порядке, предусмотренном </w:t>
      </w:r>
      <w:hyperlink r:id="rId11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 (Приложение № 2 к аукционной документации);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6) копии документов, подтверждающие внесение задатка (платежное поручение, подтверждающее перечисление задатка), заверенные печатью Участника.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Уполномоченное лицо в рамках межведомственного информационного взаимодействия осуществляет получение документов (сведений), подтверждающих государственную регистрацию юридического лица либо государственную регистрацию ин</w:t>
      </w:r>
      <w:r>
        <w:t xml:space="preserve">дивидуального предпринимателя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если заявитель не представил указанный документ самостоятельно.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3.3. Заявка на участие в Аукционе оформляется на русском языке ручным или машинописным способом.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3.4. Не принимаются заявки, исполненные карандашом или имеющие подчистки либо приписки, зачеркнутые слова, а также неоговоренные исправления. Текст заявки должен быть написан четко, фамилии, имена и отч</w:t>
      </w:r>
      <w:r>
        <w:t xml:space="preserve">ества физических лиц, фирменные наименования (наименования) юридических лиц должны быть написаны полностью. Все страницы документов должны быть четкими и читаемыми, в том числе представленные копии документов, включая надписи на оттисках печатей и штампов.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/>
      <w:r/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4. Порядок подачи заявок на участие в Аукционе</w:t>
      </w:r>
      <w:r/>
    </w:p>
    <w:p>
      <w:pPr>
        <w:pStyle w:val="820"/>
        <w:pBdr/>
        <w:spacing/>
        <w:ind w:firstLine="572"/>
        <w:jc w:val="both"/>
        <w:rPr/>
      </w:pPr>
      <w:r>
        <w:t xml:space="preserve">4.1. Заявки на участие в Аукцион</w:t>
      </w:r>
      <w:r>
        <w:t xml:space="preserve">е принимаются по месту нахождения Уполномоченного органа, начиная со дня, следующего за днем размещения извещения о проведении Аукциона и аукционной документации на официальном сайте администрации городского округа город Шарья и в газете «Ведомости Шарьи» </w:t>
      </w:r>
      <w:r>
        <w:rPr>
          <w:b/>
          <w:highlight w:val="white"/>
        </w:rPr>
        <w:t xml:space="preserve">с 25 марта 2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25 года</w:t>
      </w:r>
      <w:r>
        <w:rPr>
          <w:b/>
        </w:rPr>
        <w:t xml:space="preserve"> </w:t>
      </w:r>
      <w:r>
        <w:t xml:space="preserve">в рабочие дни с 8:00 часов до 12:00 часов и с 13:00 часов до 17:00 по московскому времени, прием заявок прекращается </w:t>
      </w:r>
      <w:r>
        <w:rPr>
          <w:b/>
          <w:highlight w:val="none"/>
        </w:rPr>
        <w:t xml:space="preserve">24 апреля 20</w:t>
      </w:r>
      <w:r>
        <w:rPr>
          <w:b/>
          <w:highlight w:val="white"/>
        </w:rPr>
        <w:t xml:space="preserve">25</w:t>
      </w:r>
      <w:r>
        <w:rPr>
          <w:highlight w:val="white"/>
        </w:rPr>
        <w:t xml:space="preserve"> го</w:t>
      </w:r>
      <w:r>
        <w:t xml:space="preserve">да в 17:00 по московскому времени.</w:t>
      </w:r>
      <w:r/>
    </w:p>
    <w:p>
      <w:pPr>
        <w:pStyle w:val="820"/>
        <w:pBdr/>
        <w:spacing/>
        <w:ind w:firstLine="572"/>
        <w:jc w:val="both"/>
        <w:rPr/>
      </w:pPr>
      <w:r>
        <w:t xml:space="preserve">Оформление заявки производится по форме, являющейся Приложением к аукционной документации. 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Заявка на участие в Аукционе подается Участником лично либо его уполномоченным представителем.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4.2. Заявка регистрируется Уполномоченным органом в журнале регистрации заявок с присвоением каждой заявке номера и с указанием даты и времени подачи. 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4.3. Уполномочен</w:t>
      </w:r>
      <w:r>
        <w:t xml:space="preserve">ный орган на заявке делает отметку о номере, присвоенном ей в журнале регистрации заявок, а также о дате и времени приема заявки. По требованию Участника Уполномоченный орган выдает расписку в получении такой заявки с указанием даты и времени ее получения.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4.4. На один лот одним Участником может быть подана только одна заявка.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4.5. Участник имеет право изменить поданную заявку до окончания срока приема заявок. Изменения в заявку оформляются в форме изменений (дополнений) в отдельные пункты заявки либо в виде новой редакции заявки.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4.6. Участник вправе отозвать заявку в любое время</w:t>
      </w:r>
      <w:r>
        <w:t xml:space="preserve"> до установленных даты и времени начала рассмотрения заявок на участие в аукционе, письменно уведомив Уполномоченный орган. Организатор обязан вернуть задаток указанному Участнику в течение пяти рабочих дней с даты поступления уведомления об отзыве заявки.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4.7. Заявки, полученные после окончания установленного срока приема заявок на участие в аукционе, не рассматриваются, и в тот же день возвращаются соответствующим Участникам. </w:t>
      </w:r>
      <w:r/>
    </w:p>
    <w:p>
      <w:pPr>
        <w:pStyle w:val="820"/>
        <w:widowControl w:val="true"/>
        <w:numPr>
          <w:ilvl w:val="0"/>
          <w:numId w:val="0"/>
        </w:numPr>
        <w:pBdr/>
        <w:spacing w:after="0" w:before="0"/>
        <w:ind w:right="0" w:firstLine="510" w:left="0"/>
        <w:jc w:val="both"/>
        <w:outlineLvl w:val="1"/>
        <w:rPr/>
      </w:pPr>
      <w:r>
        <w:t xml:space="preserve">4.8. В случае установления факта подачи одним Участником двух и более заявок на уча</w:t>
      </w:r>
      <w:r>
        <w:t xml:space="preserve">стие в аукционе в отношении одного и того же лота при условии, что поданные ранее заявки таким Участником не отозваны, все заявки на участие в аукционе такого Участника, поданные в отношении данного лота, не рассматриваются и возвращаются такому Участнику.</w:t>
      </w:r>
      <w:r/>
    </w:p>
    <w:p>
      <w:pPr>
        <w:pStyle w:val="820"/>
        <w:pBdr/>
        <w:spacing/>
        <w:ind w:firstLine="851"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360" w:left="0"/>
        <w:outlineLvl w:val="1"/>
        <w:rPr/>
      </w:pPr>
      <w:r>
        <w:rPr>
          <w:rStyle w:val="870"/>
        </w:rPr>
        <w:t xml:space="preserve">Статья 5. Порядок внесения задатка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5.1. В соответствии с условиями аукциона Участник обязуется перечислить денежные средства (задаток) на расчетный счет Организатора аукциона для участия в Аукционе.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5.2. Задаток вносится Участником как подтверждение серьезности намерений участвовать в Аукционе и как способ исполнения обязательства заключить Договор в случае победы.</w:t>
      </w:r>
      <w:r/>
    </w:p>
    <w:p>
      <w:pPr>
        <w:pStyle w:val="920"/>
        <w:widowControl w:val="true"/>
        <w:pBdr/>
        <w:spacing w:after="0" w:before="0"/>
        <w:ind w:right="0" w:firstLine="567" w:left="0"/>
        <w:jc w:val="both"/>
        <w:rPr/>
      </w:pPr>
      <w:r>
        <w:t xml:space="preserve">5.3. Размер задатка устанавливается в размере двадцати процентов от начальной (минимальной) цены Договора. Начальная (минимальная) цена рассчитывается в соответствии с формулой, ука</w:t>
      </w:r>
      <w:r>
        <w:t xml:space="preserve">занной в статье 9 Порядка размещения нестационарных торговых объектов на территории городского округа город Шарья, утвержденного постановлением администрации городского округа город Шарья от 28 апреля 2017 года № 301. Участник перечисляет задаток, в сумме:</w:t>
      </w:r>
      <w:r/>
    </w:p>
    <w:tbl>
      <w:tblPr>
        <w:tblW w:w="4950" w:type="pct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5"/>
        <w:gridCol w:w="4528"/>
        <w:gridCol w:w="1405"/>
        <w:gridCol w:w="1801"/>
        <w:gridCol w:w="1683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Начальная (минимальная) цена Договора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размере ежегодного платежа,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рублях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20"/>
              <w:pBdr/>
              <w:spacing/>
              <w:ind w:firstLine="87"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задатка 20% от начальной (минимальной) цены Договора, в рублях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г. Шарья, </w:t>
            </w:r>
            <w:r>
              <w:rPr>
                <w:sz w:val="22"/>
                <w:szCs w:val="22"/>
                <w:highlight w:val="none"/>
                <w:lang w:eastAsia="ru-RU"/>
              </w:rPr>
              <w:t xml:space="preserve">перекресток ул. Парковая и ул. Алешунинская, район жилого дома №1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Временный торговый павильон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67154,53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20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13430,91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vMerge w:val="restart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vMerge w:val="restart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  <w:lang w:eastAsia="ru-RU"/>
              </w:rPr>
              <w:t xml:space="preserve">г. Шарья, п. Ветлужский, ул. Центральная, в районе остановки «ДСК»</w:t>
            </w:r>
            <w:r>
              <w:rPr>
                <w:sz w:val="22"/>
                <w:szCs w:val="22"/>
                <w:highlight w:val="white"/>
                <w:lang w:eastAsia="ru-RU"/>
              </w:rPr>
            </w:r>
            <w:r>
              <w:rPr>
                <w:sz w:val="22"/>
                <w:szCs w:val="22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Временный торговый павильон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23317,55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4663,51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920"/>
        <w:pBdr/>
        <w:spacing/>
        <w:ind/>
        <w:jc w:val="center"/>
        <w:rPr/>
      </w:pPr>
      <w:r/>
      <w:r/>
    </w:p>
    <w:p>
      <w:pPr>
        <w:pStyle w:val="820"/>
        <w:pBdr/>
        <w:spacing/>
        <w:ind w:firstLine="572"/>
        <w:jc w:val="both"/>
        <w:rPr/>
      </w:pPr>
      <w:r>
        <w:t xml:space="preserve">5.4. Задаток должен поступить Организатору аукциона не позднее </w:t>
      </w:r>
      <w:r>
        <w:rPr>
          <w:b/>
          <w:highlight w:val="none"/>
        </w:rPr>
        <w:t xml:space="preserve">24 апреля </w:t>
      </w:r>
      <w:r>
        <w:rPr>
          <w:b/>
          <w:highlight w:val="white"/>
        </w:rPr>
        <w:t xml:space="preserve">2025 года</w:t>
      </w:r>
      <w:r>
        <w:rPr>
          <w:highlight w:val="white"/>
        </w:rPr>
        <w:t xml:space="preserve"> н</w:t>
      </w:r>
      <w:r>
        <w:t xml:space="preserve">а следующие реквизиты:</w:t>
      </w:r>
      <w:r/>
    </w:p>
    <w:p>
      <w:pPr>
        <w:pStyle w:val="820"/>
        <w:pBdr/>
        <w:spacing/>
        <w:ind w:right="-52" w:firstLine="572"/>
        <w:jc w:val="both"/>
        <w:rPr>
          <w:b/>
        </w:rPr>
      </w:pPr>
      <w:r>
        <w:rPr>
          <w:b/>
        </w:rPr>
        <w:t xml:space="preserve">Получатель – ОТДЕЛЕНИЕ КОСТРОМА БАНК</w:t>
      </w:r>
      <w:r>
        <w:rPr>
          <w:b/>
        </w:rPr>
        <w:t xml:space="preserve">А</w:t>
      </w:r>
      <w:r>
        <w:rPr>
          <w:b/>
        </w:rPr>
        <w:t xml:space="preserve"> РОССИИ//УФК по Костромской области г. Кострома «Получатель» - (Администрация городского округа город Шарья Костромской области, л/с 05413009430), ИНН/КПП 4407002295/440701001, р/с 03232643347300004100; БИК 013469126; ОКТМО: 34730000; КБК 901 111 </w:t>
      </w:r>
      <w:r>
        <w:rPr>
          <w:b/>
        </w:rPr>
        <w:t xml:space="preserve">09080 04 0000120, Доходы от платы за размещение нестационарных торговых объектов; ОГРН 1024402034095.   Назначение платежа: Задаток за участие в аукционе указать дату (число, месяц, год) по Лоту №…...(указать номер лота). Оплата через сберкассу - без КБК.</w:t>
      </w:r>
      <w:r>
        <w:rPr>
          <w:b/>
        </w:rPr>
      </w:r>
      <w:r>
        <w:rPr>
          <w:b/>
        </w:rPr>
      </w:r>
    </w:p>
    <w:p>
      <w:pPr>
        <w:pStyle w:val="820"/>
        <w:pBdr/>
        <w:spacing/>
        <w:ind w:right="-52" w:firstLine="572"/>
        <w:jc w:val="both"/>
        <w:rPr/>
      </w:pPr>
      <w:r>
        <w:rPr>
          <w:bCs/>
        </w:rPr>
        <w:t xml:space="preserve">5.5. </w:t>
      </w:r>
      <w:r>
        <w:t xml:space="preserve">Документом, подтверждающим поступление задатка на счет Организатора аукциона, является платежное поручение.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5.6. Организатор аукциона возвращает задаток путем перечисления суммы внесенного задатка на расчетный сче</w:t>
      </w:r>
      <w:r>
        <w:t xml:space="preserve">т, указанный Участником в заявке на участие в Аукционе. Организатор аукциона не отвечает за нарушение установленных сроков возврата задатка в случае, если Участник своевременно не информировал Организатора аукциона об изменении своих банковских реквизитов.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5.7. Организатор аукциона возвращает сумму внесенного Участником задатка в следующие сроки: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1) в случае поступления от Участника уведомления об отзыве заявки на участие в аукционе – в течение 5 (пяти) рабочих дней с момента регистрации отзыва заявки в журнале регистрации заявок;</w:t>
      </w:r>
      <w:r/>
    </w:p>
    <w:p>
      <w:pPr>
        <w:pStyle w:val="820"/>
        <w:pBdr/>
        <w:spacing/>
        <w:ind w:firstLine="900"/>
        <w:jc w:val="both"/>
        <w:rPr/>
      </w:pPr>
      <w:r>
        <w:t xml:space="preserve">2) в случае, если Участник, не допущен к участию в Аукционе - в течение 5 (пяти) рабочих дней с даты подписания протокола о рассмотрении заявок;</w:t>
      </w:r>
      <w:r/>
    </w:p>
    <w:p>
      <w:pPr>
        <w:pStyle w:val="820"/>
        <w:numPr>
          <w:ilvl w:val="0"/>
          <w:numId w:val="0"/>
        </w:numPr>
        <w:pBdr/>
        <w:spacing/>
        <w:ind w:firstLine="851" w:left="0"/>
        <w:jc w:val="both"/>
        <w:outlineLvl w:val="1"/>
        <w:rPr/>
      </w:pPr>
      <w:r>
        <w:t xml:space="preserve">3)  Участнику, который участвовал в Аукционе, но не стал его победителем - в течение 5 (пяти) рабочих дней с даты подписания протокола Аукциона;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4)  в случае признания аукциона несостоявшимся – в течение 5 (пяти) рабочих дней с момента принятия соответствующего решения;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5)  в случае отмены аукциона – в течение 5 (пяти) рабочих дней с момента принятия соответствующего решения;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6) Участнику, который сделал предпоследнее предложение о цене Договора, - в течение 5 (пяти) рабочих дней с даты подписания Договора с победителем Аукциона.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5.8. Внесенный задаток не возвращается в случае: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1) если Участник, признанный победителем Аукциона </w:t>
      </w:r>
      <w:r>
        <w:rPr>
          <w:color w:val="000000"/>
        </w:rPr>
        <w:t xml:space="preserve">или Участник Аукциона, </w:t>
      </w:r>
      <w:r>
        <w:t xml:space="preserve">сделавший предпоследнее предложение о цене Договора</w:t>
      </w:r>
      <w:r>
        <w:rPr>
          <w:color w:val="000000"/>
        </w:rPr>
        <w:t xml:space="preserve">, </w:t>
      </w:r>
      <w:r>
        <w:t xml:space="preserve">уклоняется от заключения Договора; 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2)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Аукциона.</w:t>
      </w:r>
      <w:r/>
    </w:p>
    <w:p>
      <w:pPr>
        <w:pStyle w:val="820"/>
        <w:pBdr/>
        <w:spacing/>
        <w:ind w:firstLine="567"/>
        <w:jc w:val="both"/>
        <w:rPr>
          <w:rStyle w:val="870"/>
          <w:b w:val="0"/>
          <w:bCs w:val="0"/>
        </w:rPr>
      </w:pPr>
      <w:r>
        <w:t xml:space="preserve">5.9. Задаток, внесенный Участником, выигравшим Аукцион, засчитывается в счет оплаты по Договору</w:t>
      </w:r>
      <w:r>
        <w:rPr>
          <w:rStyle w:val="870"/>
          <w:b w:val="0"/>
          <w:bCs w:val="0"/>
        </w:rPr>
        <w:t xml:space="preserve">.</w:t>
      </w:r>
      <w:r>
        <w:rPr>
          <w:rStyle w:val="870"/>
          <w:b w:val="0"/>
          <w:bCs w:val="0"/>
        </w:rPr>
      </w:r>
      <w:r>
        <w:rPr>
          <w:rStyle w:val="870"/>
          <w:b w:val="0"/>
          <w:bCs w:val="0"/>
        </w:rPr>
      </w:r>
    </w:p>
    <w:p>
      <w:pPr>
        <w:pStyle w:val="820"/>
        <w:pBdr/>
        <w:spacing/>
        <w:ind w:firstLine="851"/>
        <w:jc w:val="both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numPr>
          <w:ilvl w:val="0"/>
          <w:numId w:val="0"/>
        </w:numPr>
        <w:pBdr/>
        <w:spacing/>
        <w:ind w:firstLine="851" w:left="0"/>
        <w:outlineLvl w:val="1"/>
        <w:rPr>
          <w:rStyle w:val="870"/>
        </w:rPr>
      </w:pPr>
      <w:r>
        <w:rPr>
          <w:rStyle w:val="870"/>
        </w:rPr>
        <w:t xml:space="preserve">Статья 6. Проведение аукциона </w:t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>
          <w:bCs/>
        </w:rPr>
      </w:pPr>
      <w:r>
        <w:t xml:space="preserve">6.1. Начало рассмотрения заявок на участие в Аукционе на предмет соответствия требованиям, установленным аукционной документацией, начинается на следующий рабочий день после окончания приема заявок на участие в Аукционе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 xml:space="preserve">05 мая 2025</w:t>
      </w:r>
      <w:r>
        <w:rPr>
          <w:b/>
          <w:highlight w:val="white"/>
        </w:rPr>
        <w:t xml:space="preserve"> г</w:t>
      </w:r>
      <w:r>
        <w:rPr>
          <w:b/>
          <w:highlight w:val="white"/>
        </w:rPr>
        <w:t xml:space="preserve">ода в 14 ча</w:t>
      </w:r>
      <w:r>
        <w:rPr>
          <w:b/>
        </w:rPr>
        <w:t xml:space="preserve">сов 00</w:t>
      </w:r>
      <w:r>
        <w:t xml:space="preserve"> </w:t>
      </w:r>
      <w:r>
        <w:rPr>
          <w:b/>
        </w:rPr>
        <w:t xml:space="preserve">минут</w:t>
      </w:r>
      <w:r>
        <w:t xml:space="preserve">,</w:t>
      </w:r>
      <w:r>
        <w:rPr>
          <w:bCs/>
        </w:rPr>
        <w:t xml:space="preserve">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rPr>
          <w:bCs/>
        </w:rPr>
        <w:t xml:space="preserve">6.2. </w:t>
      </w:r>
      <w:r>
        <w:t xml:space="preserve">В аукционе могут участвовать только заявители, признанные участниками аукциона.</w:t>
      </w:r>
      <w:r/>
    </w:p>
    <w:p>
      <w:pPr>
        <w:pStyle w:val="820"/>
        <w:pBdr/>
        <w:spacing/>
        <w:ind w:right="-52" w:firstLine="572"/>
        <w:jc w:val="both"/>
        <w:rPr/>
      </w:pPr>
      <w:r>
        <w:t xml:space="preserve">6.3. Аукцион проводится</w:t>
      </w:r>
      <w:r>
        <w:rPr>
          <w:b/>
          <w:bCs/>
          <w:highlight w:val="white"/>
        </w:rPr>
        <w:t xml:space="preserve"> 05 мая 2025 года </w:t>
      </w:r>
      <w:r>
        <w:rPr>
          <w:b/>
          <w:bCs/>
          <w:highlight w:val="white"/>
        </w:rPr>
        <w:t xml:space="preserve"> в 10</w:t>
      </w:r>
      <w:r>
        <w:rPr>
          <w:b/>
          <w:bCs/>
        </w:rPr>
        <w:t xml:space="preserve">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 </w:t>
      </w:r>
      <w:r>
        <w:t xml:space="preserve">6.4. Место размещения нестац</w:t>
      </w:r>
      <w:r>
        <w:t xml:space="preserve">ионарных торговых объектов, в отношении которых проводится Аукцион, тип НТО, площадь НТО, специализация, срок действия Договора, в течение которого осуществляется размещение НТО, начальная (минимальная) цена Договора и «шаг» аукциона, приведены в таблице: </w:t>
      </w:r>
      <w:r/>
    </w:p>
    <w:p>
      <w:pPr>
        <w:pStyle w:val="820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7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"/>
        <w:gridCol w:w="1501"/>
        <w:gridCol w:w="1209"/>
        <w:gridCol w:w="1148"/>
        <w:gridCol w:w="1161"/>
        <w:gridCol w:w="1455"/>
        <w:gridCol w:w="1491"/>
        <w:gridCol w:w="1517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занимаемая НТО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2"/>
              <w:pBdr/>
              <w:spacing/>
              <w:ind w:right="-108" w:firstLine="0" w:lef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 реализуемой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 на размещение НТО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20"/>
              <w:pBdr/>
              <w:spacing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Начальная (минимальная) цена Договора в размере ежегодного платежа,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20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«Шаг аукциона»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5 % начальной (минимальной) цены Договора,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ru-RU"/>
              </w:rPr>
              <w:t xml:space="preserve">г.</w:t>
            </w:r>
            <w:r>
              <w:rPr>
                <w:sz w:val="22"/>
                <w:szCs w:val="22"/>
                <w:highlight w:val="white"/>
                <w:lang w:eastAsia="ru-RU"/>
              </w:rPr>
              <w:t xml:space="preserve">Шарья, </w:t>
            </w:r>
            <w:r>
              <w:rPr>
                <w:sz w:val="22"/>
                <w:szCs w:val="22"/>
                <w:highlight w:val="none"/>
                <w:lang w:eastAsia="ru-RU"/>
              </w:rPr>
              <w:t xml:space="preserve">перекресток ул. Парковая и ул. Алешунинская, район жилого дома №1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Временный торговый 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96,0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продтовары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</w:t>
            </w:r>
            <w:r>
              <w:rPr>
                <w:sz w:val="20"/>
                <w:szCs w:val="20"/>
                <w:highlight w:val="white"/>
              </w:rPr>
              <w:t xml:space="preserve">15.05.2025г.по </w:t>
            </w:r>
            <w:r>
              <w:rPr>
                <w:sz w:val="20"/>
                <w:szCs w:val="20"/>
                <w:highlight w:val="white"/>
              </w:rPr>
              <w:t xml:space="preserve">14.</w:t>
            </w:r>
            <w:r>
              <w:rPr>
                <w:sz w:val="20"/>
                <w:szCs w:val="20"/>
                <w:highlight w:val="white"/>
              </w:rPr>
              <w:t xml:space="preserve">05.2030</w:t>
            </w:r>
            <w:r>
              <w:rPr>
                <w:sz w:val="20"/>
                <w:szCs w:val="20"/>
                <w:highlight w:val="white"/>
              </w:rPr>
              <w:t xml:space="preserve">г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  <w:t xml:space="preserve"> (60 месяцев)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67154,53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3357,73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vMerge w:val="restart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none"/>
                <w:lang w:eastAsia="ru-RU"/>
              </w:rPr>
              <w:t xml:space="preserve">г. Шарья, п. Ветлужский, ул. Центральная, в районе остановки «ДСК»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</w:r>
            <w:r>
              <w:rPr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vMerge w:val="restart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Временный торговый 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  <w:lang w:eastAsia="ru-RU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</w:r>
            <w:r>
              <w:rPr>
                <w:sz w:val="20"/>
                <w:szCs w:val="20"/>
                <w:highlight w:val="whit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30,0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Смешанная группа товаров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</w:t>
            </w:r>
            <w:r>
              <w:rPr>
                <w:sz w:val="20"/>
                <w:szCs w:val="20"/>
                <w:highlight w:val="white"/>
              </w:rPr>
              <w:t xml:space="preserve">15.05.2025г.по </w:t>
            </w:r>
            <w:r>
              <w:rPr>
                <w:sz w:val="20"/>
                <w:szCs w:val="20"/>
                <w:highlight w:val="white"/>
              </w:rPr>
              <w:t xml:space="preserve">14.</w:t>
            </w:r>
            <w:r>
              <w:rPr>
                <w:sz w:val="20"/>
                <w:szCs w:val="20"/>
                <w:highlight w:val="white"/>
              </w:rPr>
              <w:t xml:space="preserve">05.2030</w:t>
            </w:r>
            <w:r>
              <w:rPr>
                <w:sz w:val="20"/>
                <w:szCs w:val="20"/>
                <w:highlight w:val="white"/>
              </w:rPr>
              <w:t xml:space="preserve">г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  <w:t xml:space="preserve"> (60 месяцев)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23317,55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vMerge w:val="restart"/>
            <w:textDirection w:val="lrTb"/>
            <w:noWrap w:val="false"/>
          </w:tcPr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1165,88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820"/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70"/>
          <w:b w:val="0"/>
        </w:rPr>
      </w:pPr>
      <w:r>
        <w:rPr>
          <w:b w:val="0"/>
        </w:rPr>
      </w:r>
      <w:r>
        <w:rPr>
          <w:rStyle w:val="870"/>
          <w:b w:val="0"/>
        </w:rPr>
      </w:r>
      <w:r>
        <w:rPr>
          <w:rStyle w:val="870"/>
          <w:b w:val="0"/>
        </w:rPr>
      </w:r>
    </w:p>
    <w:tbl>
      <w:tblPr>
        <w:tblW w:w="10031" w:type="dxa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850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и технические характеристики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Временный торговый павильон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914"/>
              <w:pBdr/>
              <w:spacing w:after="30" w:before="30" w:line="240" w:lineRule="atLeast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</w:t>
            </w:r>
            <w:r>
              <w:rPr>
                <w:sz w:val="20"/>
                <w:szCs w:val="20"/>
              </w:rPr>
              <w:t xml:space="preserve">е на одно или несколько рабочих мест. НТО должны устанавливаться на твердые виды покрытия, их техническая оснащенность должна отвечать санитарным, противопожарным, экологическим правилам, правилам продажи отдельных видов товаров, соответствовать требования</w:t>
            </w:r>
            <w:r>
              <w:rPr>
                <w:sz w:val="20"/>
                <w:szCs w:val="20"/>
              </w:rPr>
              <w:t xml:space="preserve">м безопасности для жизни и здоровья людей, условиям приема, хранения и реализации товара, а также обеспечивать условия труда и правила личной гигиены работников. При осуществлении торговой деятельности обслуживание покупателей должно осуществляться со стор</w:t>
            </w:r>
            <w:r>
              <w:rPr>
                <w:sz w:val="20"/>
                <w:szCs w:val="20"/>
              </w:rPr>
              <w:t xml:space="preserve">оны тротуара или иной площадки с твердым покрытием, не являющейся проезжей частью. Торговое место оснащается урной для мусора. Необходимо наличие вывески с указанием организационно-правовой формы, юридического адреса, режима работы, единообразных ценников.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7. Порядок заключения Договора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7.1. Заключение Договора осуществляется в порядке, предусмотренном Гражданским </w:t>
      </w:r>
      <w:hyperlink r:id="rId12" w:tooltip="consultantplus://offline/ref=9EF9F267199E4927BAF68FFF1049E5A3E0BCA2A8BA43F5D6CB74BA170DCFFD6027A7D985EE4BC9O5cDH" w:history="1">
        <w:r>
          <w:t xml:space="preserve">кодексом</w:t>
        </w:r>
      </w:hyperlink>
      <w:r>
        <w:t xml:space="preserve"> Российской Федерации, правовыми актами Костромской области и администрации городского округа город Шарья. 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7.2. Организатор Аукциона на основании протокола аукциона в течение трех рабочих дней со дня подписания протокола о результатах Аукциона готовит и передает победителю Аукциона, проект </w:t>
      </w:r>
      <w:hyperlink r:id="rId13" w:tooltip="consultantplus://offline/ref=8C89BFC02953508CF09BC4B0BFDBE4D7A686D789DD30A19AB40120DE6B64A1B5F741201F13E04077D4E746V6J9N" w:history="1">
        <w:r>
          <w:t xml:space="preserve">Договора</w:t>
        </w:r>
      </w:hyperlink>
      <w:r>
        <w:t xml:space="preserve"> (Приложение № 3 к аукционной документации). Участник, выигравший Аукцион, обязан не позднее двадцати дней со дня подписания протокола аукциона подписать и вернуть Договор Организатору аукциона. 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/>
      <w:bookmarkStart w:id="1" w:name="Par318"/>
      <w:r/>
      <w:bookmarkEnd w:id="1"/>
      <w:r>
        <w:t xml:space="preserve">7.3. В срок, пре</w:t>
      </w:r>
      <w:r>
        <w:t xml:space="preserve">дусмотренный для заключения Договора, Организатор обязан отказаться от заключения Договора с победителем аукциона либо с участником аукциона, с которым заключается такой Договор в соответствии с пунктом 7.5. настоящего Порядка, в случае установления факта: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1) проведения ликвидации Участника или принятия арбитражным судом решения о признании его банкротом и об открытии конкурсного производства;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2) приостановления деятельности Участника в порядке, предусмотренном </w:t>
      </w:r>
      <w:hyperlink r:id="rId14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правонарушениях;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3) предоставления Участником заведомо ложных сведений.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7.3. В случае отказа от заключения Договора с победителем аукциона либо при уклонении победителя аукциона от заключения Договора, Комиссией в срок не позднее дня, следующего после дня установления фактов, предусмотренных </w:t>
      </w:r>
      <w:hyperlink w:tooltip="#Par318" w:anchor="Par318" w:history="1">
        <w:r>
          <w:t xml:space="preserve">частью 2</w:t>
        </w:r>
      </w:hyperlink>
      <w:r>
        <w:t xml:space="preserve"> статьи 9 настоящего Порядка и являющихся основанием для отказа от заключения Договора, составляется протокол об отказе от заключения Договора. В данном протоколе должны с</w:t>
      </w:r>
      <w:r>
        <w:t xml:space="preserve">одержаться сведения о месте, дате и времени его составления, о лице, с которым Организатор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Уполномоченного органа.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Указанный протокол размещается Уполномоченным органом на официал</w:t>
      </w:r>
      <w:r>
        <w:t xml:space="preserve">ьном сайте Администрации и в газете «Ведомости Шарьи» в течение дня, следующего после дня подписания. Организатор в течение двух рабочих дней с даты подписания протокола передает один экземпляр протокола Участнику, с которым отказывается заключить Договор.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7.4. В случае, если победитель аукциона или участник аукциона, сделавший предпоследнее предложение о ц</w:t>
      </w:r>
      <w:r>
        <w:t xml:space="preserve">ене Договора, в срок, предусмотренный документацией об аукционе, не представил Организатору подписанный Договор, победитель аукциона или участник аукциона, сделавший предпоследнее предложение о цене Договора, признается уклонившимся от заключения Договора.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7.5. В случае, если победитель аукциона пр</w:t>
      </w:r>
      <w:r>
        <w:t xml:space="preserve">изнан уклонившимся от заключения Договора, Организатор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</w:t>
      </w:r>
      <w:r>
        <w:t xml:space="preserve">иона, сделавшим предпоследнее предложение о цене договора. Организатор обязан заключить Договор с участником аукциона, сделавшим предпоследнее предложение о цене Договора, при отказе от заключения Договора с победителем аукциона в случаях, предусмотренных </w:t>
      </w:r>
      <w:hyperlink w:tooltip="#Par322" w:anchor="Par322" w:history="1">
        <w:r>
          <w:t xml:space="preserve">частью 3</w:t>
        </w:r>
      </w:hyperlink>
      <w:r>
        <w:t xml:space="preserve"> статьи 9 настоящего Порядка. Организатор в течение трех рабочих дней с даты подписа</w:t>
      </w:r>
      <w:r>
        <w:t xml:space="preserve">ния протокола об отказе от заключения Договора передает участнику аукциона, сделавшему предпоследнее предложение о цене Договора, один экземпляр протокола и Договор, который составляется путем включения цены Договора, предложенной участником, сделавшим пре</w:t>
      </w:r>
      <w:r>
        <w:t xml:space="preserve">дпоследнее предложение о цене Договора, в проект Договора, прилагаемый к документации об аукционе. Указанный Договор подписывается участником аукциона, сделавшим предпоследнее предложение о цене Договора, в десятидневный срок и представляется Организатору.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При</w:t>
      </w:r>
      <w:r>
        <w:t xml:space="preserve"> этом заключение Договора для участника аукциона, сделавшего предпоследнее предложение о цене Договора, является обязательным. В случае уклонения победителя аукциона или участника аукциона, сделавшего предпоследнее предложение о цене договора, от заключени</w:t>
      </w:r>
      <w:r>
        <w:t xml:space="preserve">я Договора, задаток, внесенный ими, не возвращается. В случае уклонения участника аукциона, сделавшего предпоследнее предложение о цене Договора, от заключения договора, Организатор вправе обратиться в суд с иском о понуждении такого участника заключить До</w:t>
      </w:r>
      <w:r>
        <w:t xml:space="preserve">говор, а также о возмещении убытков, причиненных уклонением от заключения Договора. В случае, если Договор не заключен с победителем аукциона или с участником аукциона, сделавшим предпоследнее предложение о цене Договора, аукцион признается несостоявшимся.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7.6. Договор заключается на условиях, указанных в документации об аукционе, по цене, предложенной победителем аукциона, или участником, сделавшим предпоследнее предложение о цене Договора.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7.7. При заключении и исполнении Договора, изменение условий Договора, указанных в аукционной документации, по соглашению сторон и в одностороннем порядке не допускается.             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7.8. По каждому НТО заключается отдельный Договор.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7.9. Размер платы по Договору определен по результатам аукциона. Размер платы на текущий год начисляется с даты проведения аукциона.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20"/>
        <w:pBdr/>
        <w:spacing/>
        <w:ind w:firstLine="567"/>
        <w:jc w:val="both"/>
        <w:rPr/>
      </w:pPr>
      <w:r/>
      <w:r/>
    </w:p>
    <w:p>
      <w:pPr>
        <w:pStyle w:val="820"/>
        <w:pBdr/>
        <w:spacing/>
        <w:ind w:firstLine="851"/>
        <w:jc w:val="both"/>
        <w:rPr/>
      </w:pPr>
      <w:r/>
      <w:r/>
    </w:p>
    <w:p>
      <w:pPr>
        <w:pStyle w:val="820"/>
        <w:pBdr/>
        <w:spacing/>
        <w:ind w:firstLine="851"/>
        <w:jc w:val="both"/>
        <w:rPr/>
      </w:pPr>
      <w:r>
        <w:t xml:space="preserve"> </w:t>
      </w:r>
      <w:r/>
    </w:p>
    <w:p>
      <w:pPr>
        <w:pStyle w:val="820"/>
        <w:pBdr/>
        <w:spacing/>
        <w:ind w:firstLine="0"/>
        <w:jc w:val="both"/>
        <w:rPr/>
      </w:pPr>
      <w:r/>
      <w:r/>
    </w:p>
    <w:p>
      <w:pPr>
        <w:pStyle w:val="820"/>
        <w:pBdr/>
        <w:spacing/>
        <w:ind/>
        <w:jc w:val="left"/>
        <w:rPr>
          <w:rStyle w:val="870"/>
          <w:b w:val="0"/>
        </w:rPr>
      </w:pPr>
      <w:r>
        <w:t xml:space="preserve">                                                                                                                                           </w:t>
      </w:r>
      <w:bookmarkStart w:id="2" w:name="Par322"/>
      <w:r/>
      <w:bookmarkEnd w:id="2"/>
      <w:r>
        <w:rPr>
          <w:rStyle w:val="870"/>
          <w:b w:val="0"/>
        </w:rPr>
        <w:t xml:space="preserve">Приложение № 1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к аукционной документации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708" w:left="3540"/>
        <w:rPr/>
      </w:pPr>
      <w:r>
        <w:t xml:space="preserve">              </w:t>
      </w:r>
      <w:r>
        <w:t xml:space="preserve">от ______________________________________</w:t>
      </w:r>
      <w:r/>
    </w:p>
    <w:p>
      <w:pPr>
        <w:pStyle w:val="820"/>
        <w:pBdr/>
        <w:spacing/>
        <w:ind w:firstLine="0" w:left="4248"/>
        <w:jc w:val="both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(название юридического лица, Ф.И.О. индивидуального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0"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предпринимателя)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pBdr/>
        <w:spacing/>
        <w:ind/>
        <w:rPr>
          <w:b/>
          <w:strike/>
        </w:rPr>
      </w:pPr>
      <w:r>
        <w:rPr>
          <w:rStyle w:val="870"/>
        </w:rPr>
        <w:t xml:space="preserve">Заявка</w:t>
      </w:r>
      <w:r>
        <w:rPr>
          <w:b/>
        </w:rPr>
        <w:br/>
      </w:r>
      <w:r>
        <w:rPr>
          <w:rStyle w:val="870"/>
        </w:rPr>
        <w:t xml:space="preserve">на участие в аукционе</w:t>
      </w:r>
      <w:r>
        <w:rPr>
          <w:rStyle w:val="870"/>
          <w:highlight w:val="white"/>
        </w:rPr>
        <w:t xml:space="preserve"> </w:t>
      </w:r>
      <w:r>
        <w:rPr>
          <w:rStyle w:val="870"/>
          <w:highlight w:val="white"/>
        </w:rPr>
        <w:t xml:space="preserve">05 мая 202</w:t>
      </w:r>
      <w:r>
        <w:rPr>
          <w:rStyle w:val="870"/>
          <w:highlight w:val="white"/>
        </w:rPr>
        <w:t xml:space="preserve">5 го</w:t>
      </w:r>
      <w:r>
        <w:rPr>
          <w:rStyle w:val="870"/>
          <w:highlight w:val="white"/>
        </w:rPr>
        <w:t xml:space="preserve">да</w:t>
      </w:r>
      <w:r>
        <w:rPr>
          <w:rStyle w:val="870"/>
        </w:rPr>
        <w:t xml:space="preserve">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rStyle w:val="870"/>
        </w:rPr>
        <w:t xml:space="preserve"> </w:t>
      </w:r>
      <w:r>
        <w:rPr>
          <w:b/>
          <w:strike/>
        </w:rPr>
      </w:r>
      <w:r>
        <w:rPr>
          <w:b/>
          <w:strike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Участник_____________________________________________________________________________________________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                  (организационно-правовая форма, наименование Участника) в  лице________________________________________________________________________________________________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(должность, фамилия, имя, отчество руководителя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сообщает о своем согласии участвовать в аукционе на право заключения договора на размещение нестационарного торгового объекта на территории городского округа город Шарья</w:t>
      </w:r>
      <w:r>
        <w:t xml:space="preserve">, </w:t>
      </w:r>
      <w:r>
        <w:rPr>
          <w:sz w:val="20"/>
          <w:szCs w:val="20"/>
        </w:rPr>
        <w:t xml:space="preserve">по лоту №________,  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адрес места размещения объекта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условиях, установленных аукционной документацией.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Участник подтверждает соответствие   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</w:t>
        <w:br/>
        <w:t xml:space="preserve">                   (организационно-правовая форма, наименование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установленным аукционной  документацией обязательным требованиям к претендентам.</w:t>
        <w:br/>
        <w:t xml:space="preserve">Уведомляем, что_______________________________________________________________________________________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___________________________________________________________________________________________</w:t>
        <w:br/>
        <w:t xml:space="preserve">(организационно-правовая форма, наименование Участника) не находится в процессе ликвидации, не признано несостоятельным (банкротом), деятельность не приостановлена.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Обязуюсь соблюдать все условия, указанные в аукционной документации.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признания победителем аукциона, обязуюсь заключить договор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 </w:t>
      </w:r>
      <w:r>
        <w:rPr>
          <w:sz w:val="20"/>
          <w:szCs w:val="20"/>
        </w:rPr>
        <w:t xml:space="preserve">в установленный аукционной документацией срок.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если победитель аукциона будет признан уклонившимся от заключения договора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, а я стану Участником аукциона, который сделал предпоследнее предложение о цене права, обязуюсь заключить договор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 по предложенной мной цене права на заключение договора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Банковские реквизиты для возврата задатка: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60" w:type="dxa"/>
        <w:tblInd w:w="108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18"/>
        <w:gridCol w:w="6841"/>
      </w:tblGrid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Расчётный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Корреспондентский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Лицевой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О. (наименование) получателя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целью организации и проведения аукциона на право заключения договора на размещение нестационарного торгового объекта на территории городского округа  город Шарья, в соответствии с Федеральным законом от</w:t>
      </w:r>
      <w:r>
        <w:rPr>
          <w:sz w:val="20"/>
          <w:szCs w:val="20"/>
        </w:rPr>
        <w:t xml:space="preserve"> 27 июля 2006 года № 152-ФЗ «О персональных данных» настоящей заявкой даю Уполномоченному органу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</w:r>
      <w:r>
        <w:rPr>
          <w:sz w:val="20"/>
          <w:szCs w:val="20"/>
        </w:rPr>
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</w:r>
      <w:r>
        <w:rPr>
          <w:sz w:val="20"/>
          <w:szCs w:val="20"/>
        </w:rPr>
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   _______________________ _____________________________                                    (подпись)                                                         (расшифровка подписи)       (должность руководителя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М.П.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rStyle w:val="870"/>
          <w:sz w:val="20"/>
          <w:szCs w:val="20"/>
          <w:highlight w:val="none"/>
        </w:rPr>
      </w:pPr>
      <w:r>
        <w:rPr>
          <w:sz w:val="20"/>
          <w:szCs w:val="20"/>
        </w:rPr>
        <w:t xml:space="preserve"> </w:t>
      </w:r>
      <w:r>
        <w:rPr>
          <w:rStyle w:val="870"/>
          <w:sz w:val="20"/>
          <w:szCs w:val="20"/>
          <w:highlight w:val="none"/>
        </w:rPr>
      </w:r>
      <w:r>
        <w:rPr>
          <w:rStyle w:val="870"/>
          <w:sz w:val="20"/>
          <w:szCs w:val="20"/>
          <w:highlight w:val="none"/>
        </w:rPr>
      </w:r>
      <w:r>
        <w:rPr>
          <w:rStyle w:val="870"/>
          <w:sz w:val="20"/>
          <w:szCs w:val="20"/>
          <w:highlight w:val="none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  <w:highlight w:val="none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Приложение № 2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к аукционной документации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/>
        <w:rPr>
          <w:color w:val="000000"/>
        </w:rPr>
      </w:pPr>
      <w:r>
        <w:rPr>
          <w:b/>
          <w:bCs/>
          <w:color w:val="000000"/>
        </w:rPr>
        <w:t xml:space="preserve">Форма заявления об отсутствии ликвидации юридического лица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/>
      <w:r/>
    </w:p>
    <w:p>
      <w:pPr>
        <w:pStyle w:val="820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708" w:left="3540"/>
        <w:jc w:val="right"/>
        <w:rPr/>
      </w:pPr>
      <w:r>
        <w:t xml:space="preserve">от _________________________________</w:t>
      </w:r>
      <w:r/>
    </w:p>
    <w:p>
      <w:pPr>
        <w:pStyle w:val="820"/>
        <w:pBdr/>
        <w:spacing/>
        <w:ind w:firstLine="0" w:left="4248"/>
        <w:jc w:val="right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 xml:space="preserve">(название юридического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>
        <w:t xml:space="preserve">_________________________________</w:t>
      </w:r>
      <w:r/>
    </w:p>
    <w:p>
      <w:pPr>
        <w:pStyle w:val="820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(адрес место нахождения)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pBdr/>
        <w:spacing/>
        <w:ind w:firstLine="225"/>
        <w:rPr>
          <w:color w:val="000000"/>
        </w:rPr>
      </w:pPr>
      <w:r>
        <w:rPr>
          <w:b/>
          <w:bCs/>
          <w:color w:val="000000"/>
        </w:rPr>
        <w:t xml:space="preserve">Заявление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25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25"/>
        <w:jc w:val="both"/>
        <w:rPr>
          <w:color w:val="000000"/>
        </w:rPr>
      </w:pPr>
      <w:r>
        <w:rPr>
          <w:color w:val="000000"/>
        </w:rPr>
        <w:t xml:space="preserve">Сообщаю об отсутствии решения о ликвидации, об отсутствии решения арбитражного суда о признании _____________________________________________________________________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rPr>
          <w:color w:val="000000"/>
        </w:rPr>
      </w:pPr>
      <w:r>
        <w:rPr>
          <w:color w:val="000000"/>
        </w:rPr>
        <w:t xml:space="preserve">(наименование юридического лица)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банкротом и об открытии конкурсного производства, об отсутствии решения о приостановлении деятельности в порядке, предусмотренном Кодексом Российской Федерации об административных правонарушениях.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_______________ /_________________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подпись Ф.И.О.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Дата_____________________________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>
        <w:t xml:space="preserve">МП</w:t>
      </w:r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/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0" w:left="2832"/>
        <w:jc w:val="right"/>
        <w:rPr/>
      </w:pPr>
      <w:r/>
      <w:r/>
    </w:p>
    <w:p>
      <w:pPr>
        <w:pStyle w:val="820"/>
        <w:pBdr/>
        <w:spacing/>
        <w:ind w:firstLine="0" w:left="2832"/>
        <w:jc w:val="right"/>
        <w:rPr/>
      </w:pPr>
      <w:r/>
      <w:r/>
    </w:p>
    <w:p>
      <w:pPr>
        <w:pStyle w:val="821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№ 3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21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аукционной документации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8"/>
        <w:widowControl w:val="true"/>
        <w:pBdr/>
        <w:tabs>
          <w:tab w:val="clear" w:leader="none" w:pos="709"/>
          <w:tab w:val="left" w:leader="none" w:pos="2127"/>
        </w:tabs>
        <w:spacing/>
        <w:ind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918"/>
        <w:widowControl w:val="true"/>
        <w:pBdr/>
        <w:tabs>
          <w:tab w:val="clear" w:leader="none" w:pos="709"/>
          <w:tab w:val="left" w:leader="none" w:pos="2127"/>
        </w:tabs>
        <w:spacing/>
        <w:ind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821"/>
        <w:pBdr/>
        <w:spacing w:after="0" w:before="0"/>
        <w:ind w:firstLine="0" w:left="3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widowControl w:val="true"/>
        <w:pBdr/>
        <w:spacing/>
        <w:ind/>
        <w:jc w:val="center"/>
        <w:rPr/>
      </w:pPr>
      <w:r>
        <w:t xml:space="preserve">ПРОЕКТ ДОГОВОРА</w:t>
      </w:r>
      <w:r/>
    </w:p>
    <w:p>
      <w:pPr>
        <w:pStyle w:val="918"/>
        <w:widowControl w:val="true"/>
        <w:pBdr/>
        <w:spacing/>
        <w:ind/>
        <w:jc w:val="center"/>
        <w:rPr/>
      </w:pPr>
      <w:r>
        <w:t xml:space="preserve">НА РАЗМЕЩЕНИЕ НЕСТАЦИОНАРНОГО ТОРГОВОГО ОБЪЕКТА</w:t>
      </w:r>
      <w:r/>
    </w:p>
    <w:p>
      <w:pPr>
        <w:pStyle w:val="918"/>
        <w:widowControl w:val="true"/>
        <w:pBdr/>
        <w:spacing/>
        <w:ind/>
        <w:jc w:val="center"/>
        <w:rPr/>
      </w:pPr>
      <w:r/>
      <w:r/>
    </w:p>
    <w:p>
      <w:pPr>
        <w:pStyle w:val="820"/>
        <w:pBdr/>
        <w:spacing/>
        <w:ind w:firstLine="540"/>
        <w:jc w:val="both"/>
        <w:rPr/>
      </w:pPr>
      <w:r>
        <w:t xml:space="preserve">г. Шарья    «__»__________ 20__ года </w:t>
        <w:br/>
        <w:br/>
        <w:t xml:space="preserve">        Администрация городского округа город Шарья в лице Главы городского округа город Шарья ______________________, действующая  на основании Устава Муници</w:t>
      </w:r>
      <w:r>
        <w:t xml:space="preserve">пального образования городской округ город Шарья Костромской области, именуемая в дальнейшем «Администрация», с одной стороны, и предприятие (индивидуальный предприниматель) __________________________________________________________________________________</w:t>
      </w:r>
      <w:r/>
    </w:p>
    <w:p>
      <w:pPr>
        <w:pStyle w:val="820"/>
        <w:pBdr/>
        <w:spacing/>
        <w:ind/>
        <w:jc w:val="both"/>
        <w:rPr/>
      </w:pPr>
      <w:r>
        <w:t xml:space="preserve">именуемое в дальнейшем «Предприятие (индивидуальный предприниматель)», с другой стороны, заключили настоящий договор о нижеследующем:</w:t>
      </w:r>
      <w:r/>
    </w:p>
    <w:p>
      <w:pPr>
        <w:pStyle w:val="820"/>
        <w:pBdr/>
        <w:spacing/>
        <w:ind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1. Предмет и условия договора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>
        <w:t xml:space="preserve">1.1. «Администрация» предоставляет право на размещение нестационарного торгового объекта (тип)_____________, далее – Объект, на основании решения Комиссии по</w:t>
      </w:r>
      <w:r>
        <w:rPr>
          <w:rFonts w:ascii="Arial" w:hAnsi="Arial" w:cs="Arial"/>
          <w:color w:val="2d3038"/>
          <w:sz w:val="23"/>
          <w:szCs w:val="23"/>
        </w:rPr>
        <w:t xml:space="preserve"> </w:t>
      </w:r>
      <w:r>
        <w:t xml:space="preserve">проведению торгов на право заключения договора на размещение нестационар</w:t>
      </w:r>
      <w:r>
        <w:t xml:space="preserve">ного торгового объекта на территории городского округа город Шарья, а «Предприятие (индивидуальный предприниматель)» размещает Объект на площади_______кв. м, расположенный по адресу: ___________________________________ в соответствии с утвержденной схемой.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1.2. «Предприятие (индивидуальный предприниматель)» использует Объект для осуществления вида деятельности: __________________________________________________</w:t>
      </w:r>
      <w:r/>
    </w:p>
    <w:p>
      <w:pPr>
        <w:pStyle w:val="820"/>
        <w:numPr>
          <w:ilvl w:val="0"/>
          <w:numId w:val="0"/>
        </w:numPr>
        <w:pBdr/>
        <w:spacing/>
        <w:ind w:firstLine="0" w:left="0"/>
        <w:jc w:val="both"/>
        <w:outlineLvl w:val="1"/>
        <w:rPr/>
      </w:pPr>
      <w:r>
        <w:t xml:space="preserve">Ассортимент:_____________________________________________________________________</w:t>
      </w:r>
      <w:r/>
    </w:p>
    <w:p>
      <w:pPr>
        <w:pStyle w:val="820"/>
        <w:numPr>
          <w:ilvl w:val="0"/>
          <w:numId w:val="0"/>
        </w:numPr>
        <w:pBdr/>
        <w:spacing/>
        <w:ind w:firstLine="570" w:left="0"/>
        <w:jc w:val="both"/>
        <w:outlineLvl w:val="1"/>
        <w:rPr/>
      </w:pPr>
      <w:r>
        <w:t xml:space="preserve">1.3.  «Предприятие (индивидуальный предприниматель)» использует для целей осуществления торговой деятельности только сертифицированное специализированное оборудование, снабженное вывеской, единообразными ценниками.</w:t>
      </w:r>
      <w:r/>
    </w:p>
    <w:p>
      <w:pPr>
        <w:pStyle w:val="820"/>
        <w:pBdr/>
        <w:spacing/>
        <w:ind/>
        <w:jc w:val="both"/>
        <w:rPr/>
      </w:pPr>
      <w:r>
        <w:t xml:space="preserve">         </w:t>
      </w:r>
      <w:r>
        <w:t xml:space="preserve">1.4.  Настоящий договор заключен в соответствии с Порядком размещения нестационарных торговых объектов на территории городского округа город Шарья, утвержденным постановлением «Администрации» от __________№ ________:</w:t>
      </w:r>
      <w:r/>
    </w:p>
    <w:p>
      <w:pPr>
        <w:pStyle w:val="820"/>
        <w:pBdr/>
        <w:spacing/>
        <w:ind/>
        <w:jc w:val="both"/>
        <w:rPr/>
      </w:pPr>
      <w:r>
        <w:t xml:space="preserve">а) по результатам аукциона на право заключения договора на размещение нестационарного торгового объекта на основании протокола аукциона от ___________ № _____;</w:t>
      </w:r>
      <w:r/>
    </w:p>
    <w:p>
      <w:pPr>
        <w:pStyle w:val="820"/>
        <w:pBdr/>
        <w:spacing/>
        <w:ind/>
        <w:jc w:val="both"/>
        <w:rPr/>
      </w:pPr>
      <w:r>
        <w:t xml:space="preserve">б) в порядке преи</w:t>
      </w:r>
      <w:r>
        <w:t xml:space="preserve">мущественного права на заключение договоров на размещение нестационарных торговых объектов без проведения торгов на основании решения комиссии по размещению нестационарных торговых объектов на территории городского округа город Шарья от _________ № ______.</w:t>
      </w:r>
      <w:r/>
    </w:p>
    <w:p>
      <w:pPr>
        <w:pStyle w:val="820"/>
        <w:pBdr/>
        <w:spacing/>
        <w:ind/>
        <w:jc w:val="both"/>
        <w:rPr/>
      </w:pPr>
      <w:r>
        <w:t xml:space="preserve">          </w:t>
      </w:r>
      <w:r>
        <w:t xml:space="preserve">1.5. Размещение и организация торговой деятельности «Предприятия (инд</w:t>
      </w:r>
      <w:r>
        <w:t xml:space="preserve">ивидуальный предприниматель)» нестационарного торгового объекта осуществляется в соответствии с требованиями федерального законодательства, законодательства Костромской области, законодательства Администрации, аукционной документации и настоящего Договора.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2. Срок действия договора и плата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2.1. Размер платы по договору определен: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по результатам аукциона на право заключения договора для размещения нестационарного торгового объекта (протокол аукциона от ________№ _______) и составляет _</w:t>
      </w:r>
      <w:r>
        <w:t xml:space="preserve">_________________ (_______________) рублей. Размер платы на текущий год начисляется с даты проведения аукциона. Задаток, внесенный «Предприятием (индивидуальным предпринимателем)» в сумме _________ (________) руб., засчитывается в сумму оплаты по договору.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по цене, равной начальной (минимальной) цене договора на размещение нестационарного торгового объекта в соответствии с</w:t>
      </w:r>
      <w:r>
        <w:t xml:space="preserve"> Правилами определения начальной (минимальной) цены договора утвержденными постановлением «Администрации» от _________ №______, в порядке преимущественного права на заключение договора для размещения нестационарного торгового объекта без проведения торгов.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Размер платы за текущий год начисляется с даты заключения договора на размещение нестационарного торгового объекта.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2.2. Размер платы по договору на каждый последующий год определяется в соответствии с Правилами определения начальной (минимальной) цены договора утвержденными постановлением «Администрации» от _________ №______.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2.3. 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2.4. Платеж по настоящему договору в сумме _________ (________) рублей вносится «Предприятием (индивидуальным предпринимателем)» по следующим реквизитам:  </w:t>
      </w:r>
      <w:r/>
    </w:p>
    <w:p>
      <w:pPr>
        <w:pStyle w:val="820"/>
        <w:pBdr/>
        <w:spacing/>
        <w:ind w:firstLine="570"/>
        <w:jc w:val="both"/>
        <w:rPr>
          <w:b/>
        </w:rPr>
      </w:pPr>
      <w:r>
        <w:rPr>
          <w:b/>
        </w:rPr>
        <w:t xml:space="preserve">Получатель – ОТДЕЛЕНИЕ КОСТРОМА БАНКА РОССИИ//УФК по Костромской области г. Кострома «Получатель» -(Администрация городского округа город </w:t>
      </w:r>
      <w:r>
        <w:rPr>
          <w:b/>
        </w:rPr>
        <w:t xml:space="preserve">Шарья Костромской области, л/с 04413009430), ИНН/КПП 4407002295/440701001, к/с 03100643000000014100; БИК 013469126; ОКТМО: 34730000; КБК 901 111 09080 04 0000120, Доходы от платы за размещение нестационарных торговых объектов; ОГРН 1024402034095.</w:t>
      </w:r>
      <w:r>
        <w:rPr>
          <w:b/>
        </w:rPr>
      </w:r>
      <w:r>
        <w:rPr>
          <w:b/>
        </w:rPr>
      </w:r>
    </w:p>
    <w:p>
      <w:pPr>
        <w:pStyle w:val="820"/>
        <w:pBdr/>
        <w:spacing/>
        <w:ind w:firstLine="570"/>
        <w:jc w:val="both"/>
        <w:rPr/>
      </w:pPr>
      <w:r>
        <w:t xml:space="preserve">2.5. Оплата договора при размещении передвижных нестационарных объектов производится единовременно не позднее 5 (пяти) рабочих дней с даты заключения договора.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2.6. Подтверждением исполнения обязательства «Предприятия (индивидуального предпринимателя)» по внесению платы по настоящему Договору является платежный документ с отметкой банка плательщика об исполнении, представленный Администрации.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2.7.  Настоящий договор действителен с «__» ___________ 20__ года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по «__» ___________ 20__ года.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20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3.  Права и обязанности администрации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820"/>
        <w:pBdr/>
        <w:spacing/>
        <w:ind/>
        <w:jc w:val="both"/>
        <w:rPr/>
      </w:pPr>
      <w:r>
        <w:t xml:space="preserve">   </w:t>
      </w:r>
      <w:r>
        <w:t xml:space="preserve">3.1. «Администрация» обязуется: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предоставить право на размещение нестационарного объекта «Предприятию (индивидуальному предпринимателю)» в соответствии с условиями настоящего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не вмешиваться в хозяйственную деятельность предприятия (индивидуального предпринимателя), если она не противоречит условиям настоящего договора.</w:t>
      </w:r>
      <w:r/>
    </w:p>
    <w:p>
      <w:pPr>
        <w:pStyle w:val="820"/>
        <w:pBdr/>
        <w:spacing/>
        <w:ind/>
        <w:jc w:val="both"/>
        <w:rPr/>
      </w:pPr>
      <w:r>
        <w:t xml:space="preserve">   </w:t>
      </w:r>
      <w:r>
        <w:t xml:space="preserve">3.2. «Администрация» имеет право: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ос</w:t>
      </w:r>
      <w:r>
        <w:t xml:space="preserve">уществлять контроль за выполнением «Предприятием (индивидуальным предпринимателем)» условий настоящего Договора и требований нормативно-правовых актов, регулирующих размещение нестационарных торговых объектов на территории городского округа город Шарья;  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требовать расторжения </w:t>
      </w:r>
      <w:r>
        <w:t xml:space="preserve">договора и возмещения убытков в случае, если «Предприятие (индивидуальный предприниматель)» размещает нестационарный торговый объект не в соответствии с видом, специализацией, периодом размещения, схемой и иными существенными условиями настоящего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в) требовать расторжения договора в случае выявления фактов реализации спиртосодержащих жидкостей медицинского и парфюмерного назначения.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Возможность одностороннего расторжения договора в случае ненадлежащего исполнения (неисполнения) «Предприятием (индивидуальным предпринимателем)» обязанностей по договору, в том числе при нарушении требов</w:t>
      </w:r>
      <w:r>
        <w:t xml:space="preserve">аний к розничной продаже алкогольной продукции, установленных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г) в случае изменения схемы размещения нестационарных торговых объектов на территории городского округа город Шарья по основаниям и в порядке, предусмотренном действующим законодательством, принять решение о перемещен</w:t>
      </w:r>
      <w:r>
        <w:t xml:space="preserve">ии Объекта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объектов на территории городского округа город Шарья.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pBdr/>
        <w:spacing/>
        <w:ind/>
        <w:rPr>
          <w:bCs/>
        </w:rPr>
      </w:pPr>
      <w:r>
        <w:rPr>
          <w:bCs/>
        </w:rPr>
        <w:t xml:space="preserve">4. Права и обязанности «Предприятия (индивидуального предпринимателя)»</w:t>
      </w:r>
      <w:r>
        <w:rPr>
          <w:bCs/>
        </w:rPr>
      </w:r>
      <w:r>
        <w:rPr>
          <w:bCs/>
        </w:rPr>
      </w:r>
    </w:p>
    <w:p>
      <w:pPr>
        <w:pStyle w:val="820"/>
        <w:widowControl w:val="true"/>
        <w:pBdr/>
        <w:spacing w:after="0" w:before="0"/>
        <w:ind w:right="0" w:firstLine="680" w:left="0"/>
        <w:jc w:val="both"/>
        <w:rPr/>
      </w:pPr>
      <w:r>
        <w:t xml:space="preserve">4.1. «Предприятие (индивидуальный предприниматель)» имеет право:</w:t>
      </w:r>
      <w:r/>
    </w:p>
    <w:p>
      <w:pPr>
        <w:pStyle w:val="820"/>
        <w:widowControl w:val="true"/>
        <w:pBdr/>
        <w:spacing w:after="0" w:before="0"/>
        <w:ind w:right="0" w:firstLine="510" w:left="0"/>
        <w:jc w:val="both"/>
        <w:rPr/>
      </w:pPr>
      <w:r>
        <w:t xml:space="preserve">а) разместить Объект по местоположению в соответствии с пунктом 1.1.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б) использовать Объект для осуществления торговой деятельности в соответствии с требованиями федерального законодательства;</w:t>
      </w:r>
      <w:r/>
    </w:p>
    <w:p>
      <w:pPr>
        <w:pStyle w:val="820"/>
        <w:pBdr/>
        <w:spacing/>
        <w:ind w:firstLine="456"/>
        <w:jc w:val="both"/>
        <w:rPr/>
      </w:pPr>
      <w:r>
        <w:t xml:space="preserve">в) в случае изменения схемы размещения нестационарных торговых объектов по основаниям и в порядке, предусмотренном действующим законодательством, переместить Объек</w:t>
      </w:r>
      <w:r>
        <w:t xml:space="preserve">т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торговых объектов на территории городского округа город Шарья.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4.2. «Предприятие (индивидуальный предприниматель)» обязан: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а) использовать нестационарный торговый объект по местоположению в соответствии с пунктом 1.1 и п. 1.4.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б) сохранять вид и специализацию, местоположение и размеры нестационарного торгового объекта в течение установленного периода размещения;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в) обеспечить функционирование нестационарного торгового объекта в соответствии с требованиями действующего законодательства Российской Федерации и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г) обеспечить свободный доступ в стационарный торговый объект представителям органов государственного и муниципального контроля;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д) обеспечить соблюдение санитарных норм и правил, вывоз мусора и иных отходов от использования нестационарного торгового объекта;</w:t>
      </w:r>
      <w:r/>
    </w:p>
    <w:p>
      <w:pPr>
        <w:pStyle w:val="918"/>
        <w:widowControl w:val="false"/>
        <w:pBdr/>
        <w:spacing w:after="0" w:before="0"/>
        <w:ind w:right="0" w:firstLine="624" w:left="0"/>
        <w:jc w:val="both"/>
        <w:rPr>
          <w:b w:val="0"/>
        </w:rPr>
      </w:pPr>
      <w:r>
        <w:rPr>
          <w:b w:val="0"/>
        </w:rPr>
        <w:t xml:space="preserve">е) соблюдать технические требования и условия установки (размещения) и эксплуатации нестационарных торговых объектов на территории городского округа город Шарья, предъявляемые к владельцам нестационарных торговых объектов</w:t>
      </w:r>
      <w:r>
        <w:rPr>
          <w:b w:val="0"/>
        </w:rPr>
      </w:r>
      <w:r>
        <w:rPr>
          <w:b w:val="0"/>
        </w:rPr>
      </w:r>
    </w:p>
    <w:p>
      <w:pPr>
        <w:pStyle w:val="820"/>
        <w:widowControl w:val="true"/>
        <w:pBdr/>
        <w:spacing w:after="0" w:before="0"/>
        <w:ind w:right="0" w:firstLine="510" w:left="0"/>
        <w:jc w:val="both"/>
        <w:rPr/>
      </w:pPr>
      <w:r>
        <w:t xml:space="preserve">ж) не допускать передачу прав по настоящему договору третьим лицам;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з) при прекращении договора в 1-дневный срок обеспечить демонтаж и вывоз нестационарного торгового объекта с места его размещения;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и) запрещается переустанавливать право на размещение нестационарного торгового объекта, сдавать в аренду (субаренду) нестационарный торговый объект, осу</w:t>
      </w:r>
      <w:r>
        <w:t xml:space="preserve">ществлять хозяйственную деятельность с применением договоров совместного пользования и доверительного управления, расположенных на земельных участках, находящихся в муниципальной собственности городского округа город Шарья другим субъектам хозяйствования. </w:t>
      </w:r>
      <w:r/>
    </w:p>
    <w:p>
      <w:pPr>
        <w:pStyle w:val="820"/>
        <w:pBdr/>
        <w:spacing/>
        <w:ind w:firstLine="399"/>
        <w:jc w:val="both"/>
        <w:rPr/>
      </w:pPr>
      <w:r>
        <w:t xml:space="preserve">4.3. Своевременно и полностью вносить плату по настоящему договору в размере и порядке, установленном настоящим Договором.</w:t>
      </w:r>
      <w:r/>
    </w:p>
    <w:p>
      <w:pPr>
        <w:pStyle w:val="820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rPr/>
      </w:pPr>
      <w:r>
        <w:t xml:space="preserve">5. Ответственность сторон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5.1. За неисполнение или нарушение условий настоящего договора стороны несут ответственность в соответствии с действующим законодательством.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5.2. За нарушение сроков внесения платы по Договору «Предприятие (индивидуальный предприниматель)» выплачивает «Администрации» пени из расчета 0,03% от размера невнесенной суммы за каждый календарный день просрочки.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5.3. В случае неиспользования торгового места по назначению, не вызванного нарушением договора со стороны Администрации, внесенная плата не возвращается.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5.4.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6. Прочие условия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основании действующего законодательства.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6.2.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6.3. Договор составлен в двух экземплярах, каждый из которых имеет одинаковую юридическую силу.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6.4. Все изменения и дополнения к Договору оформляются сторонами дополнительными соглашениями в письменной форме, которые являются неотъемлемой частью Договора.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7. Изменение и прекращение договора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7.1. Пересмотр договора, изменение о</w:t>
      </w:r>
      <w:r>
        <w:t xml:space="preserve">тдельных пунктов, дополнения к условиям договора возможны по обоюдному согласию сторон и действительны, если они составлены в письменной форме и подписаны уполномоченными представителями сторон. При этом не допускается изменение следующих условий договора: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основания заключения договора на размещение нестационарного торгового объекта;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цены аукци</w:t>
      </w:r>
      <w:r>
        <w:t xml:space="preserve">она, за которую победитель аукциона (единственный участник аукциона) или действующий правообладатель приобрел право на заключение договора на размещение нестационарного торгового объекта, а также порядок и сроки внесения сумм оплаты по настоящему договору;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в) адрес размещения (местоположение и размер площади места размещения нестационарного торгового объекта), вид, специализация, период размещения нестационарного торгового объекта;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г) срок действия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д) ответственность сторон.</w:t>
      </w:r>
      <w:r/>
    </w:p>
    <w:p>
      <w:pPr>
        <w:pStyle w:val="820"/>
        <w:widowControl w:val="true"/>
        <w:pBdr/>
        <w:tabs>
          <w:tab w:val="left" w:leader="none" w:pos="120"/>
          <w:tab w:val="clear" w:leader="none" w:pos="709"/>
        </w:tabs>
        <w:spacing w:after="0" w:before="0"/>
        <w:ind w:right="0" w:firstLine="567" w:left="0"/>
        <w:jc w:val="both"/>
        <w:rPr/>
      </w:pPr>
      <w:r>
        <w:t xml:space="preserve">7.2. Настоящий договор расторгается в случаях: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а) по соглашению сторон Договора;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б) в случае прекращения «Предприятия (индивидуального предпринимателя)» в установленном законодательством Российской Федерации своей деятельности;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в) по решению суда, в том числе по заявлению Админи</w:t>
      </w:r>
      <w:r>
        <w:t xml:space="preserve">страции, в случае нарушения «Предприятием (индивидуальным предпринимателем)» существенных условий договора на размещение нестационарного торгового объекта, указанных в пунктах 1.1 - 1.5 настоящего Договора. Нарушения должны быть подтверждены документально;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г) в случае выявления контролирующими органами подтверждающих фактов необоснованного установления розничной цены на товар.</w:t>
      </w:r>
      <w:r/>
    </w:p>
    <w:p>
      <w:pPr>
        <w:pStyle w:val="820"/>
        <w:pBdr/>
        <w:spacing/>
        <w:ind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8. Реквизиты сторон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26360" cy="3658870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258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6258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Администрация городского округа город Шарья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Октябрьская ул., д.21,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г.Шарья, Костромская обл., 157500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тел.: (49449) 5-89-40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факс: (49449) 5-89-32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e-mail: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white"/>
                                </w:rPr>
                                <w:t xml:space="preserve">gorod_sharya@kostroma.gov.ru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4407002295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КПП 440701001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ОКПО 04030958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1024402034095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Глава городского округа город Шарья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__________________(ФИО)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06.80pt;height:288.10pt;mso-wrap-distance-left:0.00pt;mso-wrap-distance-top:0.00pt;mso-wrap-distance-right:0.00pt;mso-wrap-distance-bottom:0.00pt;" coordorigin="0,0" coordsize="0,0">
                <v:shape id="shape 2" o:spid="_x0000_s2" o:spt="1" type="#_x0000_t1" style="position:absolute;left:0;top:0;width:26258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Администрация городского округа город Шарья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Октябрьская ул., д.21, 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г.Шарья, Костромская обл., 157500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тел.: (49449) 5-89-40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факс: (49449) 5-89-32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e-mail: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 w:themeColor="text1"/>
                            <w:sz w:val="24"/>
                            <w:szCs w:val="24"/>
                            <w:highlight w:val="white"/>
                          </w:rPr>
                          <w:t xml:space="preserve">gorod_sharya@kostroma.gov.ru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4407002295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КПП 440701001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ОКПО 04030958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1024402034095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Глава городского округа город Шарья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__________________(ФИО)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  <w:t xml:space="preserve">                    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45690" cy="3658870"/>
                <wp:effectExtent l="0" t="0" r="0" b="0"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450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450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 Предприятие (индивидуальный предприниматель) 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Местонахождение (домашний адрес): 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Регистрационные данные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 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ИП________________(ФИО)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184.70pt;height:288.10pt;mso-wrap-distance-left:0.00pt;mso-wrap-distance-top:0.00pt;mso-wrap-distance-right:0.00pt;mso-wrap-distance-bottom:0.00pt;" coordorigin="0,0" coordsize="0,0">
                <v:shape id="shape 4" o:spid="_x0000_s4" o:spt="1" type="#_x0000_t1" style="position:absolute;left:0;top:0;width:23450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 Предприятие (индивидуальный предприниматель) 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Местонахождение (домашний адрес): 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Регистрационные данные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 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ИП________________(ФИО)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sectPr>
      <w:footerReference w:type="default" r:id="rId8"/>
      <w:footnotePr/>
      <w:endnotePr/>
      <w:type w:val="nextPage"/>
      <w:pgSz w:h="16838" w:orient="landscape" w:w="11906"/>
      <w:pgMar w:top="567" w:right="567" w:bottom="993" w:left="1185" w:header="0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Segoe UI">
    <w:panose1 w:val="020B0502040204020203"/>
  </w:font>
  <w:font w:name="RussianRail G Pro">
    <w:panose1 w:val="05050102010205020202"/>
  </w:font>
  <w:font w:name="Calibri">
    <w:panose1 w:val="020F0502020204030204"/>
  </w:font>
  <w:font w:name="PT Astra Serif">
    <w:panose1 w:val="05050102010205020202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5050102010205020202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885"/>
              <wp:effectExtent l="0" t="0" r="0" b="0"/>
              <wp:wrapTopAndBottom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85"/>
                            <w:pBdr/>
                            <w:spacing/>
                            <w:ind/>
                            <w:rPr>
                              <w:rStyle w:val="867"/>
                            </w:rPr>
                          </w:pPr>
                          <w:r>
                            <w:rPr>
                              <w:rStyle w:val="867"/>
                            </w:rPr>
                            <w:fldChar w:fldCharType="begin"/>
                          </w:r>
                          <w:r>
                            <w:rPr>
                              <w:rStyle w:val="867"/>
                            </w:rPr>
                            <w:instrText xml:space="preserve"> PAGE </w:instrText>
                          </w:r>
                          <w:r>
                            <w:rPr>
                              <w:rStyle w:val="867"/>
                            </w:rPr>
                            <w:fldChar w:fldCharType="separate"/>
                          </w:r>
                          <w:r>
                            <w:rPr>
                              <w:rStyle w:val="867"/>
                            </w:rPr>
                            <w:t xml:space="preserve">13</w:t>
                          </w:r>
                          <w:r>
                            <w:rPr>
                              <w:rStyle w:val="867"/>
                            </w:rPr>
                            <w:fldChar w:fldCharType="end"/>
                          </w:r>
                          <w:r>
                            <w:rPr>
                              <w:rStyle w:val="867"/>
                            </w:rPr>
                          </w:r>
                          <w:r>
                            <w:rPr>
                              <w:rStyle w:val="867"/>
                            </w:rPr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4;o:allowoverlap:true;o:allowincell:true;mso-position-horizontal-relative:margin;mso-position-horizontal:right;mso-position-vertical-relative:text;margin-top:0.05pt;mso-position-vertical:absolute;width:6.10pt;height:27.55pt;mso-wrap-distance-left:0.00pt;mso-wrap-distance-top:0.00pt;mso-wrap-distance-right:0.00pt;mso-wrap-distance-bottom:0.00pt;visibility:visible;" filled="f" stroked="f">
              <w10:wrap type="topAndBottom"/>
              <v:textbox inset="0,0,0,0">
                <w:txbxContent>
                  <w:p>
                    <w:pPr>
                      <w:pStyle w:val="885"/>
                      <w:pBdr/>
                      <w:spacing/>
                      <w:ind/>
                      <w:rPr>
                        <w:rStyle w:val="867"/>
                      </w:rPr>
                    </w:pPr>
                    <w:r>
                      <w:rPr>
                        <w:rStyle w:val="867"/>
                      </w:rPr>
                      <w:fldChar w:fldCharType="begin"/>
                    </w:r>
                    <w:r>
                      <w:rPr>
                        <w:rStyle w:val="867"/>
                      </w:rPr>
                      <w:instrText xml:space="preserve"> PAGE </w:instrText>
                    </w:r>
                    <w:r>
                      <w:rPr>
                        <w:rStyle w:val="867"/>
                      </w:rPr>
                      <w:fldChar w:fldCharType="separate"/>
                    </w:r>
                    <w:r>
                      <w:rPr>
                        <w:rStyle w:val="867"/>
                      </w:rPr>
                      <w:t xml:space="preserve">13</w:t>
                    </w:r>
                    <w:r>
                      <w:rPr>
                        <w:rStyle w:val="867"/>
                      </w:rPr>
                      <w:fldChar w:fldCharType="end"/>
                    </w:r>
                    <w:r>
                      <w:rPr>
                        <w:rStyle w:val="867"/>
                      </w:rPr>
                    </w:r>
                    <w:r>
                      <w:rPr>
                        <w:rStyle w:val="86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8">
    <w:name w:val="footnote reference"/>
    <w:basedOn w:val="872"/>
    <w:uiPriority w:val="99"/>
    <w:unhideWhenUsed/>
    <w:pPr>
      <w:pBdr/>
      <w:spacing/>
      <w:ind/>
    </w:pPr>
    <w:rPr>
      <w:vertAlign w:val="superscript"/>
    </w:rPr>
  </w:style>
  <w:style w:type="character" w:styleId="819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820" w:default="1">
    <w:name w:val="Normal"/>
    <w:qFormat/>
    <w:pPr>
      <w:widowControl w:val="true"/>
      <w:pBdr/>
      <w:spacing w:after="0" w:before="0"/>
      <w:ind/>
      <w:jc w:val="center"/>
    </w:pPr>
    <w:rPr>
      <w:rFonts w:ascii="Times New Roman" w:hAnsi="Times New Roman" w:eastAsia="Tahoma" w:cs="Noto Sans Devanagari"/>
      <w:color w:val="auto"/>
      <w:sz w:val="24"/>
      <w:szCs w:val="24"/>
      <w:lang w:val="ru-RU" w:eastAsia="en-US" w:bidi="ar-SA"/>
    </w:rPr>
  </w:style>
  <w:style w:type="paragraph" w:styleId="821">
    <w:name w:val="Heading 1"/>
    <w:basedOn w:val="820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822">
    <w:name w:val="Heading 2"/>
    <w:basedOn w:val="8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3">
    <w:name w:val="Heading 3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>
    <w:name w:val="Heading 4"/>
    <w:basedOn w:val="820"/>
    <w:uiPriority w:val="99"/>
    <w:qFormat/>
    <w:pPr>
      <w:keepNext w:val="true"/>
      <w:keepLines w:val="true"/>
      <w:pageBreakBefore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825">
    <w:name w:val="Heading 5"/>
    <w:basedOn w:val="820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>
    <w:name w:val="Heading 6"/>
    <w:basedOn w:val="820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Heading 1 Char"/>
    <w:link w:val="9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32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3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>
    <w:name w:val="Heading 6 Char"/>
    <w:link w:val="88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8">
    <w:name w:val="Title Char"/>
    <w:link w:val="916"/>
    <w:uiPriority w:val="10"/>
    <w:qFormat/>
    <w:pPr>
      <w:pBdr/>
      <w:spacing/>
      <w:ind/>
    </w:pPr>
    <w:rPr>
      <w:sz w:val="48"/>
      <w:szCs w:val="48"/>
    </w:rPr>
  </w:style>
  <w:style w:type="character" w:styleId="839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40">
    <w:name w:val="Quote Char"/>
    <w:uiPriority w:val="29"/>
    <w:qFormat/>
    <w:pPr>
      <w:pBdr/>
      <w:spacing/>
      <w:ind/>
    </w:pPr>
    <w:rPr>
      <w:i/>
    </w:rPr>
  </w:style>
  <w:style w:type="character" w:styleId="841">
    <w:name w:val="Intense Quote Char"/>
    <w:uiPriority w:val="30"/>
    <w:qFormat/>
    <w:pPr>
      <w:pBdr/>
      <w:spacing/>
      <w:ind/>
    </w:pPr>
    <w:rPr>
      <w:i/>
    </w:rPr>
  </w:style>
  <w:style w:type="character" w:styleId="842">
    <w:name w:val="Header Char"/>
    <w:link w:val="854"/>
    <w:uiPriority w:val="99"/>
    <w:qFormat/>
    <w:pPr>
      <w:pBdr/>
      <w:spacing/>
      <w:ind/>
    </w:pPr>
  </w:style>
  <w:style w:type="character" w:styleId="843">
    <w:name w:val="Caption Char"/>
    <w:uiPriority w:val="99"/>
    <w:qFormat/>
    <w:pPr>
      <w:pBdr/>
      <w:spacing/>
      <w:ind/>
    </w:pPr>
  </w:style>
  <w:style w:type="character" w:styleId="844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5">
    <w:name w:val="Footnote Text Char"/>
    <w:uiPriority w:val="99"/>
    <w:qFormat/>
    <w:pPr>
      <w:pBdr/>
      <w:spacing/>
      <w:ind/>
    </w:pPr>
    <w:rPr>
      <w:sz w:val="18"/>
    </w:rPr>
  </w:style>
  <w:style w:type="character" w:styleId="846">
    <w:name w:val="Привязка сноски"/>
    <w:pPr>
      <w:pBdr/>
      <w:spacing/>
      <w:ind/>
    </w:pPr>
    <w:rPr>
      <w:vertAlign w:val="superscript"/>
    </w:rPr>
  </w:style>
  <w:style w:type="character" w:styleId="847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48">
    <w:name w:val="Endnote Text Char"/>
    <w:uiPriority w:val="99"/>
    <w:qFormat/>
    <w:pPr>
      <w:pBdr/>
      <w:spacing/>
      <w:ind/>
    </w:pPr>
    <w:rPr>
      <w:sz w:val="20"/>
    </w:rPr>
  </w:style>
  <w:style w:type="character" w:styleId="849">
    <w:name w:val="Привязка концевой сноски"/>
    <w:pPr>
      <w:pBdr/>
      <w:spacing/>
      <w:ind/>
    </w:pPr>
    <w:rPr>
      <w:vertAlign w:val="superscript"/>
    </w:rPr>
  </w:style>
  <w:style w:type="character" w:styleId="850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1">
    <w:name w:val="Основной шрифт абзаца"/>
    <w:uiPriority w:val="99"/>
    <w:semiHidden/>
    <w:qFormat/>
    <w:pPr>
      <w:pBdr/>
      <w:spacing/>
      <w:ind/>
    </w:pPr>
  </w:style>
  <w:style w:type="character" w:styleId="852">
    <w:name w:val="Heading 4 Char"/>
    <w:uiPriority w:val="99"/>
    <w:semiHidden/>
    <w:qFormat/>
    <w:pPr>
      <w:pBdr/>
      <w:spacing/>
      <w:ind/>
    </w:pPr>
    <w:rPr>
      <w:rFonts w:ascii="Calibri" w:hAnsi="Calibri" w:eastAsia="Times New Roman" w:cs="Calibri"/>
      <w:b/>
      <w:bCs/>
      <w:sz w:val="28"/>
      <w:szCs w:val="28"/>
      <w:lang w:val="en-US" w:eastAsia="en-US"/>
    </w:rPr>
  </w:style>
  <w:style w:type="character" w:styleId="853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54">
    <w:name w:val="Заголовок 4 Знак"/>
    <w:uiPriority w:val="99"/>
    <w:qFormat/>
    <w:pPr>
      <w:pBdr/>
      <w:spacing/>
      <w:ind/>
    </w:pPr>
    <w:rPr>
      <w:b/>
      <w:bCs/>
      <w:sz w:val="28"/>
      <w:szCs w:val="28"/>
      <w:lang w:val="en-US" w:eastAsia="en-US"/>
    </w:rPr>
  </w:style>
  <w:style w:type="character" w:styleId="855">
    <w:name w:val="Название Знак,Приложения Знак"/>
    <w:uiPriority w:val="99"/>
    <w:qFormat/>
    <w:pPr>
      <w:pBdr/>
      <w:spacing/>
      <w:ind/>
    </w:pPr>
    <w:rPr>
      <w:sz w:val="24"/>
      <w:szCs w:val="24"/>
      <w:lang w:val="en-US" w:eastAsia="en-US"/>
    </w:rPr>
  </w:style>
  <w:style w:type="character" w:styleId="856">
    <w:name w:val="Title Char,Приложения Char"/>
    <w:uiPriority w:val="10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857">
    <w:name w:val="Title Char1,Приложения Char1"/>
    <w:uiPriority w:val="99"/>
    <w:qFormat/>
    <w:pPr>
      <w:pBdr/>
      <w:spacing/>
      <w:ind/>
    </w:pPr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858">
    <w:name w:val="Основной текст Знак"/>
    <w:uiPriority w:val="99"/>
    <w:qFormat/>
    <w:pPr>
      <w:pBdr/>
      <w:spacing/>
      <w:ind/>
    </w:pPr>
    <w:rPr>
      <w:rFonts w:ascii="RussianRail G Pro" w:hAnsi="RussianRail G Pro" w:eastAsia="Times New Roman" w:cs="RussianRail G Pro"/>
      <w:sz w:val="22"/>
      <w:szCs w:val="22"/>
      <w:lang w:val="en-US" w:eastAsia="en-US"/>
    </w:rPr>
  </w:style>
  <w:style w:type="character" w:styleId="859">
    <w:name w:val="Body Text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0">
    <w:name w:val="Body Text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1">
    <w:name w:val="Основной текст с отступом 2 Знак"/>
    <w:uiPriority w:val="99"/>
    <w:semiHidden/>
    <w:qFormat/>
    <w:pPr>
      <w:pBdr/>
      <w:spacing/>
      <w:ind/>
    </w:pPr>
    <w:rPr>
      <w:rFonts w:ascii="Arial" w:hAnsi="Arial" w:cs="Arial"/>
      <w:lang w:val="en-US" w:eastAsia="ru-RU"/>
    </w:rPr>
  </w:style>
  <w:style w:type="character" w:styleId="862">
    <w:name w:val="Body Text Indent 2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3">
    <w:name w:val="Body Text Indent 2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4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865">
    <w:name w:val="Footer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6">
    <w:name w:val="Нижний колонтитул Знак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7">
    <w:name w:val="Номер страницы"/>
    <w:uiPriority w:val="99"/>
    <w:pPr>
      <w:pBdr/>
      <w:spacing/>
      <w:ind/>
    </w:pPr>
  </w:style>
  <w:style w:type="character" w:styleId="868">
    <w:name w:val="WW-Absatz-Standardschriftart111"/>
    <w:uiPriority w:val="99"/>
    <w:qFormat/>
    <w:pPr>
      <w:pBdr/>
      <w:spacing/>
      <w:ind/>
    </w:pPr>
  </w:style>
  <w:style w:type="character" w:styleId="86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870">
    <w:name w:val="Строгий"/>
    <w:qFormat/>
    <w:pPr>
      <w:pBdr/>
      <w:spacing/>
      <w:ind/>
    </w:pPr>
    <w:rPr>
      <w:b/>
      <w:bCs/>
    </w:rPr>
  </w:style>
  <w:style w:type="character" w:styleId="871">
    <w:name w:val="Текст выноски Знак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87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73">
    <w:name w:val="Заголовок"/>
    <w:basedOn w:val="820"/>
    <w:next w:val="87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74">
    <w:name w:val="Body Text"/>
    <w:basedOn w:val="820"/>
    <w:uiPriority w:val="99"/>
    <w:pPr>
      <w:pBdr/>
      <w:spacing w:after="120" w:before="0"/>
      <w:ind/>
    </w:pPr>
    <w:rPr>
      <w:rFonts w:ascii="RussianRail G Pro" w:hAnsi="RussianRail G Pro"/>
      <w:sz w:val="22"/>
      <w:szCs w:val="22"/>
      <w:lang w:val="en-US"/>
    </w:rPr>
  </w:style>
  <w:style w:type="paragraph" w:styleId="875">
    <w:name w:val="List"/>
    <w:basedOn w:val="874"/>
    <w:pPr>
      <w:pBdr/>
      <w:spacing/>
      <w:ind/>
    </w:pPr>
    <w:rPr>
      <w:rFonts w:ascii="PT Astra Serif" w:hAnsi="PT Astra Serif" w:cs="Noto Sans Devanagari"/>
    </w:rPr>
  </w:style>
  <w:style w:type="paragraph" w:styleId="876">
    <w:name w:val="Caption"/>
    <w:basedOn w:val="8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77">
    <w:name w:val="Указатель"/>
    <w:basedOn w:val="82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8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79">
    <w:name w:val="Title"/>
    <w:basedOn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80">
    <w:name w:val="Subtitle"/>
    <w:basedOn w:val="82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81">
    <w:name w:val="Quote"/>
    <w:basedOn w:val="820"/>
    <w:uiPriority w:val="29"/>
    <w:qFormat/>
    <w:pPr>
      <w:pBdr/>
      <w:spacing/>
      <w:ind w:right="720" w:firstLine="0" w:left="720"/>
    </w:pPr>
    <w:rPr>
      <w:i/>
    </w:rPr>
  </w:style>
  <w:style w:type="paragraph" w:styleId="882">
    <w:name w:val="Intense Quote"/>
    <w:basedOn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83">
    <w:name w:val="Верхний и нижний колонтитулы"/>
    <w:basedOn w:val="820"/>
    <w:qFormat/>
    <w:pPr>
      <w:pBdr/>
      <w:spacing/>
      <w:ind/>
    </w:pPr>
  </w:style>
  <w:style w:type="paragraph" w:styleId="884">
    <w:name w:val="Header"/>
    <w:basedOn w:val="820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885">
    <w:name w:val="Footer"/>
    <w:basedOn w:val="820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886">
    <w:name w:val="footnote text"/>
    <w:basedOn w:val="82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87">
    <w:name w:val="endnote text"/>
    <w:basedOn w:val="82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88">
    <w:name w:val="toc 1"/>
    <w:basedOn w:val="820"/>
    <w:uiPriority w:val="39"/>
    <w:unhideWhenUsed/>
    <w:pPr>
      <w:pBdr/>
      <w:spacing w:after="57" w:before="0"/>
      <w:ind w:right="0" w:firstLine="0" w:left="0"/>
    </w:pPr>
  </w:style>
  <w:style w:type="paragraph" w:styleId="889">
    <w:name w:val="toc 2"/>
    <w:basedOn w:val="820"/>
    <w:uiPriority w:val="39"/>
    <w:unhideWhenUsed/>
    <w:pPr>
      <w:pBdr/>
      <w:spacing w:after="57" w:before="0"/>
      <w:ind w:right="0" w:firstLine="0" w:left="283"/>
    </w:pPr>
  </w:style>
  <w:style w:type="paragraph" w:styleId="890">
    <w:name w:val="toc 3"/>
    <w:basedOn w:val="820"/>
    <w:uiPriority w:val="39"/>
    <w:unhideWhenUsed/>
    <w:pPr>
      <w:pBdr/>
      <w:spacing w:after="57" w:before="0"/>
      <w:ind w:right="0" w:firstLine="0" w:left="567"/>
    </w:pPr>
  </w:style>
  <w:style w:type="paragraph" w:styleId="891">
    <w:name w:val="toc 4"/>
    <w:basedOn w:val="820"/>
    <w:uiPriority w:val="39"/>
    <w:unhideWhenUsed/>
    <w:pPr>
      <w:pBdr/>
      <w:spacing w:after="57" w:before="0"/>
      <w:ind w:right="0" w:firstLine="0" w:left="850"/>
    </w:pPr>
  </w:style>
  <w:style w:type="paragraph" w:styleId="892">
    <w:name w:val="toc 5"/>
    <w:basedOn w:val="820"/>
    <w:uiPriority w:val="39"/>
    <w:unhideWhenUsed/>
    <w:pPr>
      <w:pBdr/>
      <w:spacing w:after="57" w:before="0"/>
      <w:ind w:right="0" w:firstLine="0" w:left="1134"/>
    </w:pPr>
  </w:style>
  <w:style w:type="paragraph" w:styleId="893">
    <w:name w:val="toc 6"/>
    <w:basedOn w:val="820"/>
    <w:uiPriority w:val="39"/>
    <w:unhideWhenUsed/>
    <w:pPr>
      <w:pBdr/>
      <w:spacing w:after="57" w:before="0"/>
      <w:ind w:right="0" w:firstLine="0" w:left="1417"/>
    </w:pPr>
  </w:style>
  <w:style w:type="paragraph" w:styleId="894">
    <w:name w:val="toc 7"/>
    <w:basedOn w:val="820"/>
    <w:uiPriority w:val="39"/>
    <w:unhideWhenUsed/>
    <w:pPr>
      <w:pBdr/>
      <w:spacing w:after="57" w:before="0"/>
      <w:ind w:right="0" w:firstLine="0" w:left="1701"/>
    </w:pPr>
  </w:style>
  <w:style w:type="paragraph" w:styleId="895">
    <w:name w:val="toc 8"/>
    <w:basedOn w:val="820"/>
    <w:uiPriority w:val="39"/>
    <w:unhideWhenUsed/>
    <w:pPr>
      <w:pBdr/>
      <w:spacing w:after="57" w:before="0"/>
      <w:ind w:right="0" w:firstLine="0" w:left="1984"/>
    </w:pPr>
  </w:style>
  <w:style w:type="paragraph" w:styleId="896">
    <w:name w:val="toc 9"/>
    <w:basedOn w:val="820"/>
    <w:uiPriority w:val="39"/>
    <w:unhideWhenUsed/>
    <w:pPr>
      <w:pBdr/>
      <w:spacing w:after="57" w:before="0"/>
      <w:ind w:right="0" w:firstLine="0" w:left="2268"/>
    </w:pPr>
  </w:style>
  <w:style w:type="paragraph" w:styleId="897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98">
    <w:name w:val="table of figures"/>
    <w:basedOn w:val="820"/>
    <w:uiPriority w:val="99"/>
    <w:unhideWhenUsed/>
    <w:qFormat/>
    <w:pPr>
      <w:pBdr/>
      <w:spacing w:after="0" w:afterAutospacing="0" w:before="0"/>
      <w:ind/>
    </w:pPr>
  </w:style>
  <w:style w:type="paragraph" w:styleId="899">
    <w:name w:val="Название,Приложения"/>
    <w:basedOn w:val="820"/>
    <w:uiPriority w:val="99"/>
    <w:qFormat/>
    <w:pPr>
      <w:pageBreakBefore w:val="true"/>
      <w:pBdr/>
      <w:spacing/>
      <w:ind/>
      <w:jc w:val="right"/>
    </w:pPr>
    <w:rPr>
      <w:lang w:val="en-US" w:eastAsia="en-US"/>
    </w:rPr>
  </w:style>
  <w:style w:type="paragraph" w:styleId="900">
    <w:name w:val="Основной текст с отступом 2"/>
    <w:basedOn w:val="820"/>
    <w:uiPriority w:val="99"/>
    <w:semiHidden/>
    <w:qFormat/>
    <w:pPr>
      <w:keepLines w:val="true"/>
      <w:pBdr/>
      <w:spacing/>
      <w:ind w:firstLine="851"/>
      <w:jc w:val="both"/>
    </w:pPr>
    <w:rPr>
      <w:rFonts w:ascii="Arial" w:hAnsi="Arial"/>
      <w:sz w:val="20"/>
      <w:szCs w:val="20"/>
      <w:lang w:val="en-US" w:eastAsia="ru-RU"/>
    </w:rPr>
  </w:style>
  <w:style w:type="paragraph" w:styleId="901">
    <w:name w:val="Абзац списка"/>
    <w:basedOn w:val="820"/>
    <w:uiPriority w:val="99"/>
    <w:qFormat/>
    <w:pPr>
      <w:pBdr/>
      <w:spacing/>
      <w:ind w:firstLine="0" w:left="720"/>
    </w:pPr>
  </w:style>
  <w:style w:type="paragraph" w:styleId="902">
    <w:name w:val="заголовок 3"/>
    <w:basedOn w:val="820"/>
    <w:uiPriority w:val="99"/>
    <w:qFormat/>
    <w:pPr>
      <w:keepNext w:val="true"/>
      <w:pBdr/>
      <w:spacing/>
      <w:ind/>
    </w:pPr>
    <w:rPr>
      <w:b/>
      <w:bCs/>
      <w:sz w:val="28"/>
      <w:szCs w:val="28"/>
      <w:lang w:eastAsia="ru-RU"/>
    </w:rPr>
  </w:style>
  <w:style w:type="paragraph" w:styleId="903">
    <w:name w:val="заголовок 7"/>
    <w:basedOn w:val="820"/>
    <w:uiPriority w:val="99"/>
    <w:qFormat/>
    <w:pPr>
      <w:keepNext w:val="true"/>
      <w:widowControl w:val="false"/>
      <w:pBdr/>
      <w:tabs>
        <w:tab w:val="clear" w:leader="none" w:pos="709"/>
        <w:tab w:val="left" w:leader="none" w:pos="1476"/>
      </w:tabs>
      <w:spacing/>
      <w:ind/>
    </w:pPr>
    <w:rPr>
      <w:b/>
      <w:bCs/>
      <w:lang w:eastAsia="ru-RU"/>
    </w:rPr>
  </w:style>
  <w:style w:type="paragraph" w:styleId="904">
    <w:name w:val="Body Text 21"/>
    <w:basedOn w:val="820"/>
    <w:uiPriority w:val="99"/>
    <w:qFormat/>
    <w:pPr>
      <w:pBdr/>
      <w:spacing/>
      <w:ind w:firstLine="720"/>
      <w:jc w:val="both"/>
    </w:pPr>
    <w:rPr>
      <w:lang w:eastAsia="ru-RU"/>
    </w:rPr>
  </w:style>
  <w:style w:type="paragraph" w:styleId="905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6">
    <w:name w:val="FR3"/>
    <w:uiPriority w:val="99"/>
    <w:qFormat/>
    <w:pPr>
      <w:widowControl w:val="false"/>
      <w:pBdr/>
      <w:spacing w:after="0" w:before="20"/>
      <w:ind w:firstLine="0" w:left="80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7">
    <w:name w:val="ConsPlusNormal"/>
    <w:qFormat/>
    <w:pPr>
      <w:widowControl w:val="true"/>
      <w:pBdr/>
      <w:spacing w:after="0" w:before="0"/>
      <w:ind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8">
    <w:name w:val="ConsPlusNonformat"/>
    <w:uiPriority w:val="99"/>
    <w:qFormat/>
    <w:pPr>
      <w:widowControl w:val="false"/>
      <w:pBdr/>
      <w:spacing w:after="0" w:before="0"/>
      <w:ind/>
      <w:jc w:val="left"/>
    </w:pPr>
    <w:rPr>
      <w:rFonts w:ascii="Courier New" w:hAnsi="Courier New" w:eastAsia="Tahoma" w:cs="Courier New"/>
      <w:color w:val="auto"/>
      <w:sz w:val="24"/>
      <w:szCs w:val="20"/>
      <w:lang w:val="ru-RU" w:eastAsia="ru-RU" w:bidi="ar-SA"/>
    </w:rPr>
  </w:style>
  <w:style w:type="paragraph" w:styleId="909">
    <w:name w:val="ConsPlusCell"/>
    <w:uiPriority w:val="99"/>
    <w:qFormat/>
    <w:pPr>
      <w:widowControl w:val="false"/>
      <w:pBdr/>
      <w:spacing w:after="0" w:before="0"/>
      <w:ind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10">
    <w:name w:val="Знак Знак Знак Знак Знак Знак Знак Знак Знак Знак"/>
    <w:basedOn w:val="820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sz w:val="20"/>
      <w:szCs w:val="20"/>
      <w:lang w:val="en-US"/>
    </w:rPr>
  </w:style>
  <w:style w:type="paragraph" w:styleId="911">
    <w:name w:val="Знак"/>
    <w:basedOn w:val="820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lang w:val="en-US"/>
    </w:rPr>
  </w:style>
  <w:style w:type="paragraph" w:styleId="912">
    <w:name w:val="Нормальный (таблица)"/>
    <w:basedOn w:val="820"/>
    <w:qFormat/>
    <w:pPr>
      <w:widowControl w:val="false"/>
      <w:pBdr/>
      <w:spacing/>
      <w:ind/>
      <w:jc w:val="both"/>
    </w:pPr>
    <w:rPr>
      <w:rFonts w:ascii="Arial" w:hAnsi="Arial" w:eastAsia="Calibri" w:cs="Arial"/>
      <w:lang w:eastAsia="ru-RU"/>
    </w:rPr>
  </w:style>
  <w:style w:type="paragraph" w:styleId="913">
    <w:name w:val="Прижатый влево"/>
    <w:basedOn w:val="820"/>
    <w:qFormat/>
    <w:pPr>
      <w:widowControl w:val="false"/>
      <w:pBdr/>
      <w:spacing/>
      <w:ind/>
      <w:jc w:val="left"/>
    </w:pPr>
    <w:rPr>
      <w:rFonts w:ascii="Arial" w:hAnsi="Arial" w:eastAsia="Calibri" w:cs="Arial"/>
      <w:lang w:eastAsia="ru-RU"/>
    </w:rPr>
  </w:style>
  <w:style w:type="paragraph" w:styleId="914">
    <w:name w:val="Обычный (веб)"/>
    <w:basedOn w:val="820"/>
    <w:qFormat/>
    <w:pPr>
      <w:pBdr/>
      <w:spacing w:after="30" w:before="30"/>
      <w:ind/>
      <w:jc w:val="left"/>
    </w:pPr>
    <w:rPr>
      <w:rFonts w:eastAsia="Calibri"/>
      <w:lang w:eastAsia="ru-RU"/>
    </w:rPr>
  </w:style>
  <w:style w:type="paragraph" w:styleId="915">
    <w:name w:val="Body Text Indent"/>
    <w:basedOn w:val="820"/>
    <w:pPr>
      <w:pBdr/>
      <w:spacing w:after="120" w:before="0"/>
      <w:ind w:firstLine="0" w:left="283"/>
    </w:pPr>
  </w:style>
  <w:style w:type="paragraph" w:styleId="916">
    <w:name w:val="Основной текст 3"/>
    <w:basedOn w:val="820"/>
    <w:qFormat/>
    <w:pPr>
      <w:pBdr/>
      <w:spacing w:after="120" w:before="0"/>
      <w:ind/>
      <w:jc w:val="left"/>
    </w:pPr>
    <w:rPr>
      <w:sz w:val="16"/>
      <w:szCs w:val="16"/>
      <w:lang w:eastAsia="ru-RU"/>
    </w:rPr>
  </w:style>
  <w:style w:type="paragraph" w:styleId="917">
    <w:name w:val="Con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Calibri" w:cs="Courier New"/>
      <w:color w:val="auto"/>
      <w:sz w:val="24"/>
      <w:szCs w:val="20"/>
      <w:lang w:val="ru-RU" w:eastAsia="ru-RU" w:bidi="ar-SA"/>
    </w:rPr>
  </w:style>
  <w:style w:type="paragraph" w:styleId="918">
    <w:name w:val="ConsPlusTitle"/>
    <w:qFormat/>
    <w:pPr>
      <w:widowControl w:val="false"/>
      <w:pBdr/>
      <w:spacing w:after="0" w:before="0"/>
      <w:ind/>
      <w:jc w:val="left"/>
    </w:pPr>
    <w:rPr>
      <w:rFonts w:ascii="Times New Roman" w:hAnsi="Times New Roman" w:eastAsia="Calibri" w:cs="Noto Sans Devanagari"/>
      <w:b/>
      <w:bCs/>
      <w:color w:val="auto"/>
      <w:sz w:val="24"/>
      <w:szCs w:val="24"/>
      <w:lang w:val="ru-RU" w:eastAsia="ru-RU" w:bidi="ar-SA"/>
    </w:rPr>
  </w:style>
  <w:style w:type="paragraph" w:styleId="919">
    <w:name w:val="List Paragraph"/>
    <w:basedOn w:val="820"/>
    <w:qFormat/>
    <w:pPr>
      <w:widowControl w:val="false"/>
      <w:pBdr/>
      <w:spacing/>
      <w:ind w:firstLine="0" w:left="720"/>
      <w:jc w:val="left"/>
    </w:pPr>
    <w:rPr>
      <w:rFonts w:ascii="Arial" w:hAnsi="Arial" w:eastAsia="Calibri" w:cs="Arial"/>
      <w:lang w:eastAsia="ru-RU"/>
    </w:rPr>
  </w:style>
  <w:style w:type="paragraph" w:styleId="920">
    <w:name w:val="Нумерация"/>
    <w:basedOn w:val="820"/>
    <w:qFormat/>
    <w:pPr>
      <w:pBdr/>
      <w:spacing/>
      <w:ind w:firstLine="709"/>
      <w:jc w:val="both"/>
    </w:pPr>
    <w:rPr>
      <w:rFonts w:eastAsia="Calibri"/>
      <w:lang w:eastAsia="ru-RU"/>
    </w:rPr>
  </w:style>
  <w:style w:type="paragraph" w:styleId="921">
    <w:name w:val="Таблицы (моноширинный)"/>
    <w:basedOn w:val="820"/>
    <w:qFormat/>
    <w:pPr>
      <w:widowControl w:val="false"/>
      <w:pBdr/>
      <w:spacing/>
      <w:ind/>
      <w:jc w:val="both"/>
    </w:pPr>
    <w:rPr>
      <w:rFonts w:ascii="Courier New" w:hAnsi="Courier New" w:eastAsia="Calibri" w:cs="Courier New"/>
      <w:lang w:eastAsia="ru-RU"/>
    </w:rPr>
  </w:style>
  <w:style w:type="paragraph" w:styleId="922">
    <w:name w:val="çàãîëîâîê 11"/>
    <w:basedOn w:val="820"/>
    <w:qFormat/>
    <w:pPr>
      <w:keepNext w:val="true"/>
      <w:pBdr/>
      <w:spacing/>
      <w:ind/>
    </w:pPr>
    <w:rPr>
      <w:rFonts w:eastAsia="Calibri"/>
      <w:lang w:eastAsia="ru-RU"/>
    </w:rPr>
  </w:style>
  <w:style w:type="paragraph" w:styleId="923">
    <w:name w:val="заголовок 1"/>
    <w:basedOn w:val="820"/>
    <w:qFormat/>
    <w:pPr>
      <w:keepNext w:val="true"/>
      <w:pBdr/>
      <w:spacing/>
      <w:ind w:firstLine="567"/>
      <w:jc w:val="both"/>
    </w:pPr>
    <w:rPr>
      <w:rFonts w:eastAsia="Calibri"/>
      <w:lang w:eastAsia="ru-RU"/>
    </w:rPr>
  </w:style>
  <w:style w:type="paragraph" w:styleId="924">
    <w:name w:val="Текст выноски"/>
    <w:basedOn w:val="820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5">
    <w:name w:val="Содержимое врезки"/>
    <w:basedOn w:val="820"/>
    <w:qFormat/>
    <w:pPr>
      <w:pBdr/>
      <w:spacing/>
      <w:ind/>
    </w:pPr>
  </w:style>
  <w:style w:type="numbering" w:styleId="926">
    <w:name w:val="Нет списка"/>
    <w:uiPriority w:val="99"/>
    <w:semiHidden/>
    <w:unhideWhenUsed/>
    <w:qFormat/>
    <w:pPr>
      <w:pBdr/>
      <w:spacing/>
      <w:ind/>
    </w:pPr>
  </w:style>
  <w:style w:type="numbering" w:styleId="927" w:default="1">
    <w:name w:val="No List"/>
    <w:uiPriority w:val="99"/>
    <w:semiHidden/>
    <w:unhideWhenUsed/>
    <w:qFormat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consultantplus://offline/ref=9EF9F267199E4927BAF68FFF1049E5A3E7BDA2ACBC43F5D6CB74BA170DCFFD6027A7D985EF43C0O5cAH" TargetMode="External"/><Relationship Id="rId10" Type="http://schemas.openxmlformats.org/officeDocument/2006/relationships/hyperlink" Target="consultantplus://offline/ref=9EF9F267199E4927BAF68FFF1049E5A3E7BDA2ACBC43F5D6CB74BA170DCFFD6027A7D985EF43C0O5cAH" TargetMode="External"/><Relationship Id="rId11" Type="http://schemas.openxmlformats.org/officeDocument/2006/relationships/hyperlink" Target="consultantplus://offline/ref=9EF9F267199E4927BAF68FFF1049E5A3E7B9ABADB143F5D6CB74BA170DCFFD6027A7DD84OEcDH" TargetMode="External"/><Relationship Id="rId12" Type="http://schemas.openxmlformats.org/officeDocument/2006/relationships/hyperlink" Target="consultantplus://offline/ref=9EF9F267199E4927BAF68FFF1049E5A3E0BCA2A8BA43F5D6CB74BA170DCFFD6027A7D985EE4BC9O5cDH" TargetMode="External"/><Relationship Id="rId13" Type="http://schemas.openxmlformats.org/officeDocument/2006/relationships/hyperlink" Target="consultantplus://offline/ref=8C89BFC02953508CF09BC4B0BFDBE4D7A686D789DD30A19AB40120DE6B64A1B5F741201F13E04077D4E746V6J9N" TargetMode="External"/><Relationship Id="rId14" Type="http://schemas.openxmlformats.org/officeDocument/2006/relationships/hyperlink" Target="consultantplus://offline/ref=9EF9F267199E4927BAF68FFF1049E5A3E7B9ABADB143F5D6CB74BA170DCFFD6027A7DD84OEc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Administraciya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Администратор</dc:creator>
  <dc:description/>
  <dc:language>ru-RU</dc:language>
  <cp:revision>67</cp:revision>
  <dcterms:created xsi:type="dcterms:W3CDTF">2019-02-12T07:11:00Z</dcterms:created>
  <dcterms:modified xsi:type="dcterms:W3CDTF">2025-03-20T05:40:52Z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Administraciya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1048576</vt:lpwstr>
  </property>
</Properties>
</file>