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pBdr/>
        <w:spacing/>
        <w:ind/>
        <w:rPr>
          <w:b/>
          <w:bCs/>
        </w:rPr>
      </w:pPr>
      <w:r/>
      <w:bookmarkStart w:id="0" w:name="_Toc301434789"/>
      <w:r>
        <w:rPr>
          <w:b/>
          <w:bCs/>
        </w:rPr>
        <w:t xml:space="preserve">ИЗВЕЩЕНИЕ </w:t>
      </w:r>
      <w:bookmarkEnd w:id="0"/>
      <w:r>
        <w:rPr>
          <w:b/>
          <w:bCs/>
        </w:rPr>
      </w:r>
      <w:r>
        <w:rPr>
          <w:b/>
          <w:bCs/>
        </w:rPr>
      </w:r>
    </w:p>
    <w:p>
      <w:pPr>
        <w:pStyle w:val="783"/>
        <w:pBdr/>
        <w:spacing/>
        <w:ind/>
        <w:rPr/>
      </w:pPr>
      <w:r>
        <w:t xml:space="preserve">о проведени</w:t>
      </w:r>
      <w:r>
        <w:rPr>
          <w:highlight w:val="white"/>
        </w:rPr>
        <w:t xml:space="preserve">и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05 мая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25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г</w:t>
      </w:r>
      <w:r>
        <w:rPr>
          <w:b/>
          <w:highlight w:val="white"/>
        </w:rPr>
        <w:t xml:space="preserve">ода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а</w:t>
      </w:r>
      <w:r>
        <w:t xml:space="preserve">укциона на право заключения договора на размещение нестационарного торгового объекта </w:t>
      </w:r>
      <w:r/>
    </w:p>
    <w:p>
      <w:pPr>
        <w:pStyle w:val="783"/>
        <w:pBdr/>
        <w:spacing/>
        <w:ind/>
        <w:rPr>
          <w:lang w:eastAsia="ru-RU"/>
        </w:rPr>
      </w:pPr>
      <w:r>
        <w:t xml:space="preserve">на территории городского округа город Шарья</w:t>
      </w:r>
      <w:r>
        <w:rPr>
          <w:lang w:eastAsia="ru-RU"/>
        </w:rPr>
      </w:r>
      <w:r>
        <w:rPr>
          <w:lang w:eastAsia="ru-RU"/>
        </w:rPr>
      </w:r>
    </w:p>
    <w:p>
      <w:pPr>
        <w:pStyle w:val="783"/>
        <w:pBdr/>
        <w:spacing/>
        <w:ind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783"/>
        <w:pBdr/>
        <w:spacing/>
        <w:ind w:firstLine="546"/>
        <w:jc w:val="both"/>
        <w:rPr>
          <w:strike/>
        </w:rPr>
      </w:pPr>
      <w:r>
        <w:rPr>
          <w:bCs/>
        </w:rPr>
        <w:t xml:space="preserve">1.</w:t>
      </w:r>
      <w:r>
        <w:rPr>
          <w:b/>
          <w:bCs/>
        </w:rPr>
        <w:t xml:space="preserve"> </w:t>
      </w:r>
      <w:r>
        <w:t xml:space="preserve">Организатором аукциона на право заключения договора на </w:t>
      </w:r>
      <w:r>
        <w:t xml:space="preserve">размещения нестационарного торгового объекта на территории городского округа город Шарья является администрация городского округа город Шарья (далее – Организатор аукциона), расположенный по адресу: 157500, Костромская обл., г. Шарья, ул. Октябрьская, 21,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 </w:t>
      </w:r>
      <w:r>
        <w:rPr>
          <w:lang w:val="en-US"/>
        </w:rPr>
        <w:t xml:space="preserve">gorod</w:t>
      </w:r>
      <w:r>
        <w:t xml:space="preserve">_</w:t>
      </w:r>
      <w:r>
        <w:rPr>
          <w:lang w:val="en-US"/>
        </w:rPr>
        <w:t xml:space="preserve">sharya</w:t>
      </w:r>
      <w:r>
        <w:t xml:space="preserve">@</w:t>
      </w:r>
      <w:r>
        <w:t xml:space="preserve">kostroma.gov.</w:t>
      </w:r>
      <w:r>
        <w:rPr>
          <w:lang w:val="en-US"/>
        </w:rPr>
        <w:t xml:space="preserve">ru</w:t>
      </w:r>
      <w:r>
        <w:t xml:space="preserve">.</w:t>
      </w:r>
      <w:r>
        <w:rPr>
          <w:strike/>
        </w:rPr>
      </w:r>
      <w:r>
        <w:rPr>
          <w:strike/>
        </w:rPr>
      </w:r>
    </w:p>
    <w:p>
      <w:pPr>
        <w:pStyle w:val="783"/>
        <w:pBdr/>
        <w:spacing/>
        <w:ind w:firstLine="546"/>
        <w:jc w:val="both"/>
        <w:rPr/>
      </w:pPr>
      <w:r>
        <w:t xml:space="preserve">2. Уполномоченным органом по проведению аукциона на право заключения договора на размещение нестационарного торгового объекта, приему заявок, оформлению и выдаче договоров, ведению реестра договоров, контролю за исполнением условий до</w:t>
      </w:r>
      <w:r>
        <w:t xml:space="preserve">говоров на размещение нестационарных торговых объектов является отдел экономического развития администрации городского округа город Шарья (далее – Уполномоченный орган) расположенный по адресу: г. Шарья, ул. Ленина, 13, каб. 46, контактный телефон 58-934, </w:t>
      </w: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 </w:t>
      </w:r>
      <w:r>
        <w:rPr>
          <w:lang w:val="en-US"/>
        </w:rPr>
        <w:t xml:space="preserve">economika</w:t>
      </w:r>
      <w:r>
        <w:t xml:space="preserve">_</w:t>
      </w:r>
      <w:r>
        <w:rPr>
          <w:lang w:val="en-US"/>
        </w:rPr>
        <w:t xml:space="preserve">sharya</w:t>
      </w:r>
      <w:r>
        <w:t xml:space="preserve">@</w:t>
      </w:r>
      <w:r>
        <w:rPr>
          <w:lang w:val="en-US"/>
        </w:rPr>
        <w:t xml:space="preserve">mail</w:t>
      </w:r>
      <w:r>
        <w:t xml:space="preserve">.</w:t>
      </w:r>
      <w:r>
        <w:rPr>
          <w:lang w:val="en-US"/>
        </w:rPr>
        <w:t xml:space="preserve">ru</w:t>
      </w:r>
      <w:r>
        <w:t xml:space="preserve">.</w:t>
      </w:r>
      <w:r/>
    </w:p>
    <w:p>
      <w:pPr>
        <w:pStyle w:val="783"/>
        <w:pBdr/>
        <w:spacing/>
        <w:ind w:firstLine="546"/>
        <w:jc w:val="both"/>
        <w:rPr>
          <w:highlight w:val="white"/>
        </w:rPr>
      </w:pPr>
      <w:r>
        <w:t xml:space="preserve">3. Уполномоченный орган объявляет о проведе</w:t>
      </w:r>
      <w:r>
        <w:rPr>
          <w:highlight w:val="white"/>
        </w:rPr>
        <w:t xml:space="preserve">нии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 xml:space="preserve">0</w:t>
      </w:r>
      <w:r>
        <w:rPr>
          <w:b/>
          <w:highlight w:val="white"/>
        </w:rPr>
        <w:t xml:space="preserve">5 мая 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025 год</w:t>
      </w:r>
      <w:r>
        <w:rPr>
          <w:b/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в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10 ч. 00 </w:t>
      </w:r>
      <w:r>
        <w:rPr>
          <w:b/>
          <w:highlight w:val="white"/>
        </w:rPr>
        <w:t xml:space="preserve">ми</w:t>
      </w:r>
      <w:r>
        <w:rPr>
          <w:highlight w:val="white"/>
        </w:rPr>
        <w:t xml:space="preserve">н. по московскому времени аукциона на право заключения договора на размещение нестационарного торгового объекта на территории городского округа город Шарья (далее – Аукцион).  </w:t>
      </w:r>
      <w:r>
        <w:rPr>
          <w:highlight w:val="white"/>
        </w:rPr>
      </w:r>
      <w:r>
        <w:rPr>
          <w:highlight w:val="white"/>
        </w:rPr>
      </w:r>
    </w:p>
    <w:p>
      <w:pPr>
        <w:pStyle w:val="783"/>
        <w:pBdr/>
        <w:spacing/>
        <w:ind w:firstLine="546"/>
        <w:jc w:val="both"/>
        <w:rPr>
          <w:highlight w:val="white"/>
        </w:rPr>
      </w:pPr>
      <w:r>
        <w:rPr>
          <w:highlight w:val="white"/>
        </w:rPr>
        <w:t xml:space="preserve">4. Предмет Аукциона – право на заключение договора на размещение нестационарного торгового объекта на территории городского округа город Шарья (далее – Договор).</w:t>
      </w:r>
      <w:r>
        <w:rPr>
          <w:highlight w:val="white"/>
        </w:rPr>
      </w:r>
      <w:r>
        <w:rPr>
          <w:highlight w:val="white"/>
        </w:rPr>
      </w:r>
    </w:p>
    <w:p>
      <w:pPr>
        <w:pStyle w:val="783"/>
        <w:widowControl w:val="false"/>
        <w:pBdr/>
        <w:spacing/>
        <w:ind w:firstLine="546"/>
        <w:jc w:val="both"/>
        <w:rPr>
          <w:bCs/>
          <w:highlight w:val="white"/>
        </w:rPr>
      </w:pPr>
      <w:r>
        <w:rPr>
          <w:highlight w:val="white"/>
        </w:rPr>
        <w:t xml:space="preserve">5</w:t>
      </w:r>
      <w:r>
        <w:rPr>
          <w:rStyle w:val="833"/>
          <w:b w:val="0"/>
          <w:highlight w:val="white"/>
        </w:rPr>
        <w:t xml:space="preserve">. </w:t>
      </w:r>
      <w:r>
        <w:rPr>
          <w:highlight w:val="white"/>
        </w:rPr>
        <w:t xml:space="preserve">Место размещения нестационарных торговых объектов (д</w:t>
      </w:r>
      <w:r>
        <w:rPr>
          <w:highlight w:val="white"/>
        </w:rPr>
        <w:t xml:space="preserve">алее – НТО), в отношении которых проводится Аукцион, тип НТО, площадь НТО, специализация, срок действия Договора, в течение которого осуществляется размещение НТО, начальная (минимальная) цена Договора и сумма задатка, «шаг» аукциона, приведены в таблице: 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pStyle w:val="783"/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33"/>
          <w:b w:val="0"/>
          <w:highlight w:val="white"/>
        </w:rPr>
      </w:pPr>
      <w:r>
        <w:rPr>
          <w:b w:val="0"/>
          <w:highlight w:val="white"/>
        </w:rPr>
      </w:r>
      <w:r>
        <w:rPr>
          <w:rStyle w:val="833"/>
          <w:b w:val="0"/>
          <w:highlight w:val="white"/>
        </w:rPr>
      </w:r>
      <w:r>
        <w:rPr>
          <w:rStyle w:val="833"/>
          <w:b w:val="0"/>
          <w:highlight w:val="white"/>
        </w:rPr>
      </w:r>
    </w:p>
    <w:tbl>
      <w:tblPr>
        <w:tblW w:w="4950" w:type="pct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82"/>
        <w:gridCol w:w="2425"/>
        <w:gridCol w:w="1361"/>
        <w:gridCol w:w="1237"/>
        <w:gridCol w:w="1552"/>
        <w:gridCol w:w="1357"/>
        <w:gridCol w:w="1491"/>
        <w:gridCol w:w="1643"/>
        <w:gridCol w:w="1574"/>
        <w:gridCol w:w="1551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лота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5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Место размещения  НТО, в соответствии со схемой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Тип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НТО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объектов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Площадь, занимаемая НТО 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(кв.метров)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Ассортимент реализуемой продукции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Срок действия Договора на размещение 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НТО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783"/>
              <w:pBdr/>
              <w:spacing/>
              <w:ind w:firstLine="26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Начальная (минимальная) цена Договора в размере ежегодного платежа,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руб.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783"/>
              <w:pBdr/>
              <w:spacing/>
              <w:ind w:firstLine="3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Сумма задатка 20% от начальной (минимальной)цены Договора,  руб.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pStyle w:val="783"/>
              <w:pBdr/>
              <w:spacing/>
              <w:ind w:firstLine="21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"Шаг аукциона"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 размере 5 % начальной (минимальной) цены Договора,  руб.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rPr>
          <w:trHeight w:val="1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2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25" w:type="dxa"/>
            <w:textDirection w:val="lrTb"/>
            <w:noWrap w:val="false"/>
          </w:tcPr>
          <w:p>
            <w:pPr>
              <w:pStyle w:val="783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г. Шарья, </w:t>
            </w:r>
            <w:r>
              <w:rPr>
                <w:sz w:val="20"/>
                <w:szCs w:val="20"/>
                <w:highlight w:val="none"/>
                <w:lang w:eastAsia="ru-RU"/>
              </w:rPr>
              <w:t xml:space="preserve">перекресток ул. Парковая и ул. Алешунинская, район жилого дома № 1(т/п «Орфей»)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1" w:type="dxa"/>
            <w:textDirection w:val="lrTb"/>
            <w:noWrap w:val="false"/>
          </w:tcPr>
          <w:p>
            <w:pPr>
              <w:pStyle w:val="783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Временный торговый 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7" w:type="dxa"/>
            <w:textDirection w:val="lrTb"/>
            <w:noWrap w:val="false"/>
          </w:tcPr>
          <w:p>
            <w:pPr>
              <w:pStyle w:val="783"/>
              <w:widowControl w:val="false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96,0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7" w:type="dxa"/>
            <w:textDirection w:val="lrTb"/>
            <w:noWrap w:val="false"/>
          </w:tcPr>
          <w:p>
            <w:pPr>
              <w:pStyle w:val="875"/>
              <w:pBdr/>
              <w:spacing/>
              <w:ind/>
              <w:jc w:val="left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продтовары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</w:t>
            </w:r>
            <w:r>
              <w:rPr>
                <w:sz w:val="20"/>
                <w:szCs w:val="20"/>
                <w:highlight w:val="white"/>
              </w:rPr>
              <w:t xml:space="preserve">15.05.2025г.по </w:t>
            </w:r>
            <w:r>
              <w:rPr>
                <w:sz w:val="20"/>
                <w:szCs w:val="20"/>
                <w:highlight w:val="white"/>
              </w:rPr>
              <w:t xml:space="preserve">14.</w:t>
            </w:r>
            <w:r>
              <w:rPr>
                <w:sz w:val="20"/>
                <w:szCs w:val="20"/>
                <w:highlight w:val="white"/>
              </w:rPr>
              <w:t xml:space="preserve">05.2030</w:t>
            </w:r>
            <w:r>
              <w:rPr>
                <w:sz w:val="20"/>
                <w:szCs w:val="20"/>
                <w:highlight w:val="white"/>
              </w:rPr>
              <w:t xml:space="preserve">г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(60 месяцев)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67154,53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4" w:type="dxa"/>
            <w:textDirection w:val="lrTb"/>
            <w:noWrap w:val="false"/>
          </w:tcPr>
          <w:p>
            <w:pPr>
              <w:pStyle w:val="783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13430,91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1" w:type="dxa"/>
            <w:textDirection w:val="lrTb"/>
            <w:noWrap w:val="false"/>
          </w:tcPr>
          <w:p>
            <w:pPr>
              <w:pStyle w:val="783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783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3357,73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33"/>
          <w:b w:val="0"/>
          <w:bCs w:val="0"/>
        </w:rPr>
      </w:pPr>
      <w:r>
        <w:rPr>
          <w:rStyle w:val="833"/>
          <w:b w:val="0"/>
        </w:rPr>
      </w: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</w:p>
    <w:p>
      <w:pPr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33"/>
          <w:b w:val="0"/>
          <w:bCs w:val="0"/>
        </w:rPr>
      </w:pP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</w:p>
    <w:p>
      <w:pPr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33"/>
          <w:b w:val="0"/>
          <w:bCs w:val="0"/>
        </w:rPr>
      </w:pP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</w:p>
    <w:p>
      <w:pPr>
        <w:pStyle w:val="783"/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33"/>
          <w:b w:val="0"/>
          <w:bCs w:val="0"/>
        </w:rPr>
      </w:pPr>
      <w:r>
        <w:rPr>
          <w:b w:val="0"/>
        </w:rPr>
      </w:r>
      <w:r>
        <w:rPr>
          <w:rStyle w:val="833"/>
          <w:b w:val="0"/>
          <w:bCs w:val="0"/>
        </w:rPr>
      </w:r>
      <w:r>
        <w:rPr>
          <w:rStyle w:val="833"/>
          <w:b w:val="0"/>
          <w:bCs w:val="0"/>
        </w:rPr>
      </w:r>
    </w:p>
    <w:tbl>
      <w:tblPr>
        <w:tblW w:w="15276" w:type="dxa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17"/>
        <w:gridCol w:w="1275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rPr/>
            </w:pPr>
            <w:r>
              <w:t xml:space="preserve">Тип НТО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8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rPr/>
            </w:pPr>
            <w:r>
              <w:t xml:space="preserve">Описание и технические характеристики НТО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7" w:type="dxa"/>
            <w:textDirection w:val="lrTb"/>
            <w:noWrap w:val="false"/>
          </w:tcPr>
          <w:p>
            <w:pPr>
              <w:pStyle w:val="783"/>
              <w:pBdr/>
              <w:spacing/>
              <w:ind/>
              <w:jc w:val="left"/>
              <w:rPr/>
            </w:pPr>
            <w:r>
              <w:t xml:space="preserve">Временный торговый павильон</w:t>
            </w:r>
            <w:r/>
          </w:p>
          <w:p>
            <w:pPr>
              <w:pStyle w:val="783"/>
              <w:pBdr/>
              <w:spacing/>
              <w:ind/>
              <w:rPr/>
            </w:pPr>
            <w:r/>
            <w:r/>
          </w:p>
          <w:p>
            <w:pPr>
              <w:pStyle w:val="783"/>
              <w:pBdr/>
              <w:spacing/>
              <w:ind/>
              <w:rPr/>
            </w:pPr>
            <w:r/>
            <w:r/>
          </w:p>
          <w:p>
            <w:pPr>
              <w:pStyle w:val="783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8" w:type="dxa"/>
            <w:textDirection w:val="lrTb"/>
            <w:noWrap w:val="false"/>
          </w:tcPr>
          <w:p>
            <w:pPr>
              <w:pStyle w:val="877"/>
              <w:pBdr/>
              <w:spacing w:after="30" w:before="30" w:line="240" w:lineRule="atLeast"/>
              <w:ind/>
              <w:jc w:val="both"/>
              <w:rPr>
                <w:color w:val="000000"/>
              </w:rPr>
            </w:pPr>
            <w:r>
              <w:t xml:space="preserve">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</w:t>
            </w:r>
            <w:r>
              <w:t xml:space="preserve">е на одно или несколько рабочих мест. НТО должны устанавливаться на твердые виды покрытия, их техническая оснащенность должна отвечать санитарным, противопожарным, экологическим правилам, правилам продажи отдельных видов товаров, соответствовать требования</w:t>
            </w:r>
            <w:r>
              <w:t xml:space="preserve">м безопасности для жизни и здоровья людей, условиям приема, хранения и реализации товара, а также обеспечивать условия труда и правила личной гигиены работников. При осуществлении торговой деятельности обслуживание покупателей должно осуществляться со стор</w:t>
            </w:r>
            <w:r>
              <w:t xml:space="preserve">оны тротуара или иной площадки с твердым покрытием, не являющейся проезжей частью. Торговое место оснащается урной для мусора. Необходимо наличие вывески с указанием организационно-правовой формы, юридического адреса, режима работы, единообразных ценников.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783"/>
        <w:pBdr/>
        <w:spacing/>
        <w:ind w:right="0" w:firstLine="567" w:left="0"/>
        <w:jc w:val="both"/>
        <w:rPr>
          <w:rStyle w:val="833"/>
          <w:b w:val="0"/>
        </w:rPr>
      </w:pPr>
      <w:r>
        <w:rPr>
          <w:rStyle w:val="833"/>
          <w:b w:val="0"/>
        </w:rPr>
        <w:t xml:space="preserve">6.</w:t>
      </w:r>
      <w:r>
        <w:t xml:space="preserve"> "Шаг аукциона" устанавливается в размере пяти процентов начальной (минимальной) цены Договора.</w:t>
      </w:r>
      <w:r>
        <w:rPr>
          <w:rStyle w:val="833"/>
          <w:b w:val="0"/>
        </w:rPr>
      </w:r>
      <w:r>
        <w:rPr>
          <w:rStyle w:val="833"/>
          <w:b w:val="0"/>
        </w:rPr>
      </w:r>
    </w:p>
    <w:p>
      <w:pPr>
        <w:pStyle w:val="783"/>
        <w:pBdr/>
        <w:spacing/>
        <w:ind w:firstLine="572"/>
        <w:jc w:val="both"/>
        <w:rPr/>
      </w:pPr>
      <w:r>
        <w:rPr>
          <w:rStyle w:val="833"/>
          <w:b w:val="0"/>
        </w:rPr>
        <w:t xml:space="preserve">7. </w:t>
      </w:r>
      <w:r>
        <w:t xml:space="preserve">Заявки на участие в Аукци</w:t>
      </w:r>
      <w:r>
        <w:t xml:space="preserve">оне принимаются по месту нахождения Уполномоченного органа, начиная со дня, следующего за днем размещения извещения о проведении Аукциона и аукционной документации на официальном сайте администрации городского округа город Шарья и в газете «Ведомости Шарьи</w:t>
      </w:r>
      <w:r>
        <w:rPr>
          <w:highlight w:val="white"/>
        </w:rPr>
        <w:t xml:space="preserve">»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с 2</w:t>
      </w:r>
      <w:r>
        <w:rPr>
          <w:b/>
          <w:highlight w:val="white"/>
          <w:lang w:val="en-US"/>
        </w:rPr>
        <w:t xml:space="preserve">5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марта 20</w:t>
      </w:r>
      <w:r>
        <w:rPr>
          <w:b/>
          <w:highlight w:val="white"/>
        </w:rPr>
        <w:t xml:space="preserve">25</w:t>
      </w:r>
      <w:r>
        <w:rPr>
          <w:b/>
          <w:highlight w:val="white"/>
        </w:rPr>
        <w:t xml:space="preserve"> г</w:t>
      </w:r>
      <w:r>
        <w:rPr>
          <w:b/>
          <w:highlight w:val="white"/>
        </w:rPr>
        <w:t xml:space="preserve">ода </w:t>
      </w:r>
      <w:r>
        <w:rPr>
          <w:highlight w:val="white"/>
        </w:rPr>
        <w:t xml:space="preserve">в рабочие дни с 8:00 часов до 12:00 часов и с 13:00 часов до 17:00 по московскому времени, прием заявок прекращается </w:t>
      </w:r>
      <w:r>
        <w:rPr>
          <w:b/>
          <w:highlight w:val="white"/>
        </w:rPr>
        <w:t xml:space="preserve">24 апреля 2</w:t>
      </w:r>
      <w:r>
        <w:rPr>
          <w:b/>
          <w:highlight w:val="white"/>
        </w:rPr>
        <w:t xml:space="preserve">025</w:t>
      </w:r>
      <w:r>
        <w:rPr>
          <w:highlight w:val="white"/>
        </w:rPr>
        <w:t xml:space="preserve"> </w:t>
      </w:r>
      <w:r>
        <w:rPr>
          <w:highlight w:val="white"/>
        </w:rPr>
        <w:t xml:space="preserve">года</w:t>
      </w:r>
      <w:r>
        <w:t xml:space="preserve"> в 17:00 по московскому времени. Оформление заявки производится по форме, являющейся Приложением к аукционной документации. </w:t>
      </w:r>
      <w:r/>
    </w:p>
    <w:p>
      <w:pPr>
        <w:pStyle w:val="783"/>
        <w:pBdr/>
        <w:spacing/>
        <w:ind w:firstLine="572"/>
        <w:jc w:val="both"/>
        <w:rPr>
          <w:rStyle w:val="833"/>
          <w:b w:val="0"/>
        </w:rPr>
      </w:pPr>
      <w:r>
        <w:t xml:space="preserve">Начало рассмотрения заявок на участие в Аукционе на предмет соответствия требованиям, установленным аукционной документацией начинается на следующий рабочий день после окончания приема заявок на участие в Аукц</w:t>
      </w:r>
      <w:r>
        <w:rPr>
          <w:highlight w:val="white"/>
        </w:rPr>
        <w:t xml:space="preserve">ион</w:t>
      </w:r>
      <w:r>
        <w:rPr>
          <w:highlight w:val="white"/>
        </w:rPr>
        <w:t xml:space="preserve">е </w:t>
      </w:r>
      <w:r>
        <w:rPr>
          <w:b/>
          <w:highlight w:val="white"/>
        </w:rPr>
        <w:t xml:space="preserve">28 апреля 202</w:t>
      </w:r>
      <w:r>
        <w:rPr>
          <w:b/>
          <w:highlight w:val="white"/>
        </w:rPr>
        <w:t xml:space="preserve">5 года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в 14 час.</w:t>
      </w:r>
      <w:r>
        <w:rPr>
          <w:b/>
        </w:rPr>
        <w:t xml:space="preserve"> 00мин.</w:t>
      </w:r>
      <w:r>
        <w:rPr>
          <w:rStyle w:val="833"/>
          <w:b w:val="0"/>
        </w:rPr>
      </w:r>
      <w:r>
        <w:rPr>
          <w:rStyle w:val="833"/>
          <w:b w:val="0"/>
        </w:rPr>
      </w:r>
    </w:p>
    <w:p>
      <w:pPr>
        <w:pStyle w:val="783"/>
        <w:pBdr/>
        <w:spacing/>
        <w:ind w:firstLine="572"/>
        <w:jc w:val="both"/>
        <w:rPr/>
      </w:pPr>
      <w:r>
        <w:rPr>
          <w:rStyle w:val="833"/>
          <w:b w:val="0"/>
        </w:rPr>
        <w:t xml:space="preserve">8. </w:t>
      </w:r>
      <w:r>
        <w:t xml:space="preserve">Аукцион является открытым по составу участников и по форме подачи предложений о цене лота.</w:t>
      </w:r>
      <w:r/>
    </w:p>
    <w:p>
      <w:pPr>
        <w:pStyle w:val="783"/>
        <w:pBdr/>
        <w:tabs>
          <w:tab w:val="left" w:leader="none" w:pos="142"/>
          <w:tab w:val="clear" w:leader="none" w:pos="709"/>
        </w:tabs>
        <w:spacing/>
        <w:ind w:firstLine="567"/>
        <w:jc w:val="both"/>
        <w:rPr/>
      </w:pPr>
      <w:r>
        <w:t xml:space="preserve">9. Аукционная документа</w:t>
      </w:r>
      <w:r>
        <w:t xml:space="preserve">ция предоставляется уполномоченным органом бесплатно в рабочие дни с 08 часов 00 минут до 12 часов 00 минут и с 13 часов 00 минут до 17 часов 00 минут по московскому времени со дня, следующего за днем размещения на официальном сайте извещения о проведении </w:t>
      </w:r>
      <w:r>
        <w:t xml:space="preserve">аукциона, по адресу: Шарья, улица Ленина, 13, кабинет 46, в бумажной или электронной форме (на носитель заинтересованного лица). Аукционная документация размещена и доступна для ознакомления на официальном сайте администрации городского округа город Шарья </w:t>
      </w:r>
      <w:r>
        <w:rPr>
          <w:u w:val="single"/>
        </w:rPr>
        <w:t xml:space="preserve">(https://sharya.kostroma.gov.ru)</w:t>
      </w:r>
      <w:r>
        <w:t xml:space="preserve"> и в газете «Ведомости Шарьи».</w:t>
      </w:r>
      <w:r/>
    </w:p>
    <w:p>
      <w:pPr>
        <w:pStyle w:val="783"/>
        <w:pBdr/>
        <w:spacing/>
        <w:ind w:right="-52" w:firstLine="572"/>
        <w:jc w:val="both"/>
        <w:rPr>
          <w:b/>
          <w:bCs/>
        </w:rPr>
      </w:pPr>
      <w:r>
        <w:t xml:space="preserve">10. Аукцион проводится по месту нахождения Организатора аукциона.</w:t>
      </w:r>
      <w:r>
        <w:rPr>
          <w:b/>
          <w:bCs/>
        </w:rPr>
      </w:r>
      <w:r>
        <w:rPr>
          <w:b/>
          <w:bCs/>
        </w:rPr>
      </w:r>
    </w:p>
    <w:p>
      <w:pPr>
        <w:pStyle w:val="783"/>
        <w:pBdr/>
        <w:spacing/>
        <w:ind w:firstLine="572"/>
        <w:jc w:val="both"/>
        <w:rPr>
          <w:b/>
          <w:bCs/>
          <w:highlight w:val="white"/>
        </w:rPr>
      </w:pPr>
      <w:r>
        <w:rPr>
          <w:bCs/>
        </w:rPr>
        <w:t xml:space="preserve">11. </w:t>
      </w:r>
      <w:r>
        <w:t xml:space="preserve">Для участия в Аукционе Участник в соответствии с аукционной документацией вносит задаток в размере 20 (двадцать) процентов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от начальной (минимальной) цены Договора, </w:t>
      </w:r>
      <w:r>
        <w:t xml:space="preserve">который должен быть перечислен до подачи заявки на участие в Аукционе и поступить Организатору аукциона не позд</w:t>
      </w:r>
      <w:r>
        <w:rPr>
          <w:highlight w:val="white"/>
        </w:rPr>
        <w:t xml:space="preserve">нее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24 апреля</w:t>
      </w:r>
      <w:r>
        <w:rPr>
          <w:b/>
          <w:highlight w:val="white"/>
        </w:rPr>
        <w:t xml:space="preserve"> 202</w:t>
      </w:r>
      <w:r>
        <w:rPr>
          <w:b/>
          <w:highlight w:val="white"/>
        </w:rPr>
        <w:t xml:space="preserve">5 год</w:t>
      </w:r>
      <w:r>
        <w:rPr>
          <w:b/>
          <w:highlight w:val="white"/>
        </w:rPr>
        <w:t xml:space="preserve">а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</w:t>
      </w:r>
      <w:r>
        <w:t xml:space="preserve"> следующие реквизиты: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783"/>
        <w:pBdr/>
        <w:spacing/>
        <w:ind w:right="-52" w:firstLine="572"/>
        <w:jc w:val="both"/>
        <w:rPr>
          <w:b/>
        </w:rPr>
      </w:pPr>
      <w:r>
        <w:rPr>
          <w:b/>
        </w:rPr>
        <w:t xml:space="preserve">Получатель – ОТ</w:t>
      </w:r>
      <w:r>
        <w:rPr>
          <w:b/>
        </w:rPr>
        <w:t xml:space="preserve">ДЕЛЕНИЕ КОСТРОМА БАНКА РОССИИ//УФК по Костромской области г. Кострома «Получатель» -(Администрация городского округа город Шарья Костромской области, л/с 05413009430), ИНН/КПП 4407002295/440701001, к/с 03232643347300004100; БИК 013469126; ОКТМО: 34730000; </w:t>
      </w:r>
      <w:r>
        <w:rPr>
          <w:b/>
        </w:rPr>
      </w:r>
      <w:r>
        <w:rPr>
          <w:b/>
        </w:rPr>
      </w:r>
    </w:p>
    <w:p>
      <w:pPr>
        <w:pStyle w:val="783"/>
        <w:pBdr/>
        <w:spacing/>
        <w:ind w:right="-52" w:firstLine="572"/>
        <w:jc w:val="both"/>
        <w:rPr>
          <w:b/>
        </w:rPr>
      </w:pPr>
      <w:r>
        <w:rPr>
          <w:b/>
        </w:rPr>
        <w:t xml:space="preserve">КБК 901 111 09080 04 0000120, Доходы от платы за размещение нестационарных торговых объектов; ОГРН 1024402034095. </w:t>
      </w:r>
      <w:r>
        <w:rPr>
          <w:b/>
          <w:bCs/>
        </w:rPr>
        <w:t xml:space="preserve">Назначение платежа: Задаток за участие в аукционе указать дату (число, месяц, год) по Лоту №…...(указать номер лота). Оплата через сберкассу - без КБК.</w:t>
      </w:r>
      <w:r>
        <w:rPr>
          <w:b/>
        </w:rPr>
      </w:r>
      <w:r>
        <w:rPr>
          <w:b/>
        </w:rPr>
      </w:r>
    </w:p>
    <w:p>
      <w:pPr>
        <w:pStyle w:val="783"/>
        <w:widowControl w:val="false"/>
        <w:pBdr/>
        <w:spacing/>
        <w:ind w:firstLine="572"/>
        <w:jc w:val="both"/>
        <w:rPr/>
      </w:pPr>
      <w:r>
        <w:t xml:space="preserve">12. Организатор аукциона вправе отказаться от проведения Аукциона не п</w:t>
      </w:r>
      <w:r>
        <w:t xml:space="preserve">озднее, чем за пять календарных дней до даты окончания срока подачи заявок на участие в Аукционе. Извещение об отказе от проведения Аукциона размещается Уполномоченным органом на официальном сайте Администрации и в газете «Ведомости Шарьи» в течение одного</w:t>
      </w:r>
      <w:r>
        <w:t xml:space="preserve"> дня с даты принятия решения об отказе от проведения Аукциона. В данном случае Организатор аукциона возвращает Участникам денежные средства, внесенные в качестве задатка, в течение пяти рабочих дней с даты принятия решения об отказе от проведения Аукциона.</w:t>
      </w:r>
      <w:r/>
    </w:p>
    <w:sectPr>
      <w:footnotePr/>
      <w:endnotePr/>
      <w:type w:val="nextPage"/>
      <w:pgSz w:h="11906" w:orient="portrait" w:w="16838"/>
      <w:pgMar w:top="568" w:right="678" w:bottom="360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Segoe UI">
    <w:panose1 w:val="020B0502040204020203"/>
  </w:font>
  <w:font w:name="RussianRail G Pro">
    <w:panose1 w:val="05050102010205020202"/>
  </w:font>
  <w:font w:name="Calibri">
    <w:panose1 w:val="020F0502020204030204"/>
  </w:font>
  <w:font w:name="PT Astra Serif">
    <w:panose1 w:val="05050102010205020202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5050102010205020202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0" w:before="0"/>
      <w:ind/>
      <w:jc w:val="center"/>
    </w:pPr>
    <w:rPr>
      <w:rFonts w:ascii="Times New Roman" w:hAnsi="Times New Roman" w:eastAsia="Tahoma" w:cs="Noto Sans Devanagari"/>
      <w:color w:val="auto"/>
      <w:sz w:val="24"/>
      <w:szCs w:val="24"/>
      <w:lang w:val="ru-RU" w:eastAsia="en-US" w:bidi="ar-SA"/>
    </w:rPr>
  </w:style>
  <w:style w:type="paragraph" w:styleId="784">
    <w:name w:val="Heading 1"/>
    <w:basedOn w:val="783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9"/>
    <w:qFormat/>
    <w:pPr>
      <w:keepNext w:val="true"/>
      <w:keepLines w:val="true"/>
      <w:pageBreakBefore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788">
    <w:name w:val="Heading 5"/>
    <w:basedOn w:val="783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link w:val="88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>
    <w:name w:val="Heading 6 Char"/>
    <w:link w:val="852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1">
    <w:name w:val="Title Char"/>
    <w:link w:val="879"/>
    <w:uiPriority w:val="10"/>
    <w:qFormat/>
    <w:pPr>
      <w:pBdr/>
      <w:spacing/>
      <w:ind/>
    </w:pPr>
    <w:rPr>
      <w:sz w:val="48"/>
      <w:szCs w:val="48"/>
    </w:rPr>
  </w:style>
  <w:style w:type="character" w:styleId="802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03">
    <w:name w:val="Quote Char"/>
    <w:uiPriority w:val="29"/>
    <w:qFormat/>
    <w:pPr>
      <w:pBdr/>
      <w:spacing/>
      <w:ind/>
    </w:pPr>
    <w:rPr>
      <w:i/>
    </w:rPr>
  </w:style>
  <w:style w:type="character" w:styleId="804">
    <w:name w:val="Intense Quote Char"/>
    <w:uiPriority w:val="30"/>
    <w:qFormat/>
    <w:pPr>
      <w:pBdr/>
      <w:spacing/>
      <w:ind/>
    </w:pPr>
    <w:rPr>
      <w:i/>
    </w:rPr>
  </w:style>
  <w:style w:type="character" w:styleId="805">
    <w:name w:val="Header Char"/>
    <w:link w:val="817"/>
    <w:uiPriority w:val="99"/>
    <w:qFormat/>
    <w:pPr>
      <w:pBdr/>
      <w:spacing/>
      <w:ind/>
    </w:pPr>
  </w:style>
  <w:style w:type="character" w:styleId="806">
    <w:name w:val="Caption Char"/>
    <w:uiPriority w:val="99"/>
    <w:qFormat/>
    <w:pPr>
      <w:pBdr/>
      <w:spacing/>
      <w:ind/>
    </w:pPr>
  </w:style>
  <w:style w:type="character" w:styleId="807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08">
    <w:name w:val="Footnote Text Char"/>
    <w:uiPriority w:val="99"/>
    <w:qFormat/>
    <w:pPr>
      <w:pBdr/>
      <w:spacing/>
      <w:ind/>
    </w:pPr>
    <w:rPr>
      <w:sz w:val="18"/>
    </w:rPr>
  </w:style>
  <w:style w:type="character" w:styleId="809">
    <w:name w:val="Привязка сноски"/>
    <w:pPr>
      <w:pBdr/>
      <w:spacing/>
      <w:ind/>
    </w:pPr>
    <w:rPr>
      <w:vertAlign w:val="superscript"/>
    </w:rPr>
  </w:style>
  <w:style w:type="character" w:styleId="810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1">
    <w:name w:val="Endnote Text Char"/>
    <w:uiPriority w:val="99"/>
    <w:qFormat/>
    <w:pPr>
      <w:pBdr/>
      <w:spacing/>
      <w:ind/>
    </w:pPr>
    <w:rPr>
      <w:sz w:val="20"/>
    </w:rPr>
  </w:style>
  <w:style w:type="character" w:styleId="812">
    <w:name w:val="Привязка концевой сноски"/>
    <w:pPr>
      <w:pBdr/>
      <w:spacing/>
      <w:ind/>
    </w:pPr>
    <w:rPr>
      <w:vertAlign w:val="superscript"/>
    </w:rPr>
  </w:style>
  <w:style w:type="character" w:styleId="813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4">
    <w:name w:val="Основной шрифт абзаца"/>
    <w:uiPriority w:val="99"/>
    <w:semiHidden/>
    <w:qFormat/>
    <w:pPr>
      <w:pBdr/>
      <w:spacing/>
      <w:ind/>
    </w:pPr>
  </w:style>
  <w:style w:type="character" w:styleId="815">
    <w:name w:val="Heading 4 Char"/>
    <w:uiPriority w:val="99"/>
    <w:semiHidden/>
    <w:qFormat/>
    <w:pPr>
      <w:pBdr/>
      <w:spacing/>
      <w:ind/>
    </w:pPr>
    <w:rPr>
      <w:rFonts w:ascii="Calibri" w:hAnsi="Calibri" w:eastAsia="Times New Roman" w:cs="Calibri"/>
      <w:b/>
      <w:bCs/>
      <w:sz w:val="28"/>
      <w:szCs w:val="28"/>
      <w:lang w:val="en-US" w:eastAsia="en-US"/>
    </w:rPr>
  </w:style>
  <w:style w:type="character" w:styleId="816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17">
    <w:name w:val="Заголовок 4 Знак"/>
    <w:uiPriority w:val="99"/>
    <w:qFormat/>
    <w:pPr>
      <w:pBdr/>
      <w:spacing/>
      <w:ind/>
    </w:pPr>
    <w:rPr>
      <w:b/>
      <w:bCs/>
      <w:sz w:val="28"/>
      <w:szCs w:val="28"/>
      <w:lang w:val="en-US" w:eastAsia="en-US"/>
    </w:rPr>
  </w:style>
  <w:style w:type="character" w:styleId="818">
    <w:name w:val="Название Знак,Приложения Знак"/>
    <w:uiPriority w:val="99"/>
    <w:qFormat/>
    <w:pPr>
      <w:pBdr/>
      <w:spacing/>
      <w:ind/>
    </w:pPr>
    <w:rPr>
      <w:sz w:val="24"/>
      <w:szCs w:val="24"/>
      <w:lang w:val="en-US" w:eastAsia="en-US"/>
    </w:rPr>
  </w:style>
  <w:style w:type="character" w:styleId="819">
    <w:name w:val="Title Char,Приложения Char"/>
    <w:uiPriority w:val="10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820">
    <w:name w:val="Title Char1,Приложения Char1"/>
    <w:uiPriority w:val="99"/>
    <w:qFormat/>
    <w:pPr>
      <w:pBdr/>
      <w:spacing/>
      <w:ind/>
    </w:pPr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821">
    <w:name w:val="Основной текст Знак"/>
    <w:uiPriority w:val="99"/>
    <w:qFormat/>
    <w:pPr>
      <w:pBdr/>
      <w:spacing/>
      <w:ind/>
    </w:pPr>
    <w:rPr>
      <w:rFonts w:ascii="RussianRail G Pro" w:hAnsi="RussianRail G Pro" w:eastAsia="Times New Roman" w:cs="RussianRail G Pro"/>
      <w:sz w:val="22"/>
      <w:szCs w:val="22"/>
      <w:lang w:val="en-US" w:eastAsia="en-US"/>
    </w:rPr>
  </w:style>
  <w:style w:type="character" w:styleId="822">
    <w:name w:val="Body Text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23">
    <w:name w:val="Body Text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24">
    <w:name w:val="Основной текст с отступом 2 Знак"/>
    <w:uiPriority w:val="99"/>
    <w:semiHidden/>
    <w:qFormat/>
    <w:pPr>
      <w:pBdr/>
      <w:spacing/>
      <w:ind/>
    </w:pPr>
    <w:rPr>
      <w:rFonts w:ascii="Arial" w:hAnsi="Arial" w:cs="Arial"/>
      <w:lang w:val="en-US" w:eastAsia="ru-RU"/>
    </w:rPr>
  </w:style>
  <w:style w:type="character" w:styleId="825">
    <w:name w:val="Body Text Indent 2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26">
    <w:name w:val="Body Text Indent 2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27">
    <w:name w:val="ConsNormal Знак"/>
    <w:uiPriority w:val="99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828">
    <w:name w:val="Footer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29">
    <w:name w:val="Нижний колонтитул Знак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30">
    <w:name w:val="Номер страницы"/>
    <w:uiPriority w:val="99"/>
    <w:pPr>
      <w:pBdr/>
      <w:spacing/>
      <w:ind/>
    </w:pPr>
  </w:style>
  <w:style w:type="character" w:styleId="831">
    <w:name w:val="WW-Absatz-Standardschriftart111"/>
    <w:uiPriority w:val="99"/>
    <w:qFormat/>
    <w:pPr>
      <w:pBdr/>
      <w:spacing/>
      <w:ind/>
    </w:pPr>
  </w:style>
  <w:style w:type="character" w:styleId="832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833">
    <w:name w:val="Строгий"/>
    <w:qFormat/>
    <w:pPr>
      <w:pBdr/>
      <w:spacing/>
      <w:ind/>
    </w:pPr>
    <w:rPr>
      <w:b/>
      <w:bCs/>
    </w:rPr>
  </w:style>
  <w:style w:type="character" w:styleId="834">
    <w:name w:val="Текст выноски Знак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835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36">
    <w:name w:val="Заголовок"/>
    <w:basedOn w:val="783"/>
    <w:next w:val="837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37">
    <w:name w:val="Body Text"/>
    <w:basedOn w:val="783"/>
    <w:uiPriority w:val="99"/>
    <w:pPr>
      <w:pBdr/>
      <w:spacing w:after="120" w:before="0"/>
      <w:ind/>
    </w:pPr>
    <w:rPr>
      <w:rFonts w:ascii="RussianRail G Pro" w:hAnsi="RussianRail G Pro"/>
      <w:sz w:val="22"/>
      <w:szCs w:val="22"/>
      <w:lang w:val="en-US"/>
    </w:rPr>
  </w:style>
  <w:style w:type="paragraph" w:styleId="838">
    <w:name w:val="List"/>
    <w:basedOn w:val="837"/>
    <w:pPr>
      <w:pBdr/>
      <w:spacing/>
      <w:ind/>
    </w:pPr>
    <w:rPr>
      <w:rFonts w:ascii="PT Astra Serif" w:hAnsi="PT Astra Serif" w:cs="Noto Sans Devanagari"/>
    </w:rPr>
  </w:style>
  <w:style w:type="paragraph" w:styleId="839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40">
    <w:name w:val="Указатель"/>
    <w:basedOn w:val="783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41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42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43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44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45">
    <w:name w:val="Intense Quote"/>
    <w:basedOn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46">
    <w:name w:val="Верхний и нижний колонтитулы"/>
    <w:basedOn w:val="783"/>
    <w:qFormat/>
    <w:pPr>
      <w:pBdr/>
      <w:spacing/>
      <w:ind/>
    </w:pPr>
  </w:style>
  <w:style w:type="paragraph" w:styleId="847">
    <w:name w:val="Header"/>
    <w:basedOn w:val="783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848">
    <w:name w:val="Footer"/>
    <w:basedOn w:val="783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849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50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51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52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53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54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55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56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57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58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59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60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61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62">
    <w:name w:val="Название,Приложения"/>
    <w:basedOn w:val="783"/>
    <w:uiPriority w:val="99"/>
    <w:qFormat/>
    <w:pPr>
      <w:pageBreakBefore w:val="true"/>
      <w:pBdr/>
      <w:spacing/>
      <w:ind/>
      <w:jc w:val="right"/>
    </w:pPr>
    <w:rPr>
      <w:lang w:val="en-US" w:eastAsia="en-US"/>
    </w:rPr>
  </w:style>
  <w:style w:type="paragraph" w:styleId="863">
    <w:name w:val="Основной текст с отступом 2"/>
    <w:basedOn w:val="783"/>
    <w:uiPriority w:val="99"/>
    <w:semiHidden/>
    <w:qFormat/>
    <w:pPr>
      <w:keepLines w:val="true"/>
      <w:pBdr/>
      <w:spacing/>
      <w:ind w:firstLine="851"/>
      <w:jc w:val="both"/>
    </w:pPr>
    <w:rPr>
      <w:rFonts w:ascii="Arial" w:hAnsi="Arial"/>
      <w:sz w:val="20"/>
      <w:szCs w:val="20"/>
      <w:lang w:val="en-US" w:eastAsia="ru-RU"/>
    </w:rPr>
  </w:style>
  <w:style w:type="paragraph" w:styleId="864">
    <w:name w:val="Абзац списка"/>
    <w:basedOn w:val="783"/>
    <w:uiPriority w:val="99"/>
    <w:qFormat/>
    <w:pPr>
      <w:pBdr/>
      <w:spacing/>
      <w:ind w:firstLine="0" w:left="720"/>
    </w:pPr>
  </w:style>
  <w:style w:type="paragraph" w:styleId="865">
    <w:name w:val="заголовок 3"/>
    <w:basedOn w:val="783"/>
    <w:uiPriority w:val="99"/>
    <w:qFormat/>
    <w:pPr>
      <w:keepNext w:val="true"/>
      <w:pBdr/>
      <w:spacing/>
      <w:ind/>
    </w:pPr>
    <w:rPr>
      <w:b/>
      <w:bCs/>
      <w:sz w:val="28"/>
      <w:szCs w:val="28"/>
      <w:lang w:eastAsia="ru-RU"/>
    </w:rPr>
  </w:style>
  <w:style w:type="paragraph" w:styleId="866">
    <w:name w:val="заголовок 7"/>
    <w:basedOn w:val="783"/>
    <w:uiPriority w:val="99"/>
    <w:qFormat/>
    <w:pPr>
      <w:keepNext w:val="true"/>
      <w:widowControl w:val="false"/>
      <w:pBdr/>
      <w:tabs>
        <w:tab w:val="clear" w:leader="none" w:pos="709"/>
        <w:tab w:val="left" w:leader="none" w:pos="1476"/>
      </w:tabs>
      <w:spacing/>
      <w:ind/>
    </w:pPr>
    <w:rPr>
      <w:b/>
      <w:bCs/>
      <w:lang w:eastAsia="ru-RU"/>
    </w:rPr>
  </w:style>
  <w:style w:type="paragraph" w:styleId="867">
    <w:name w:val="Body Text 21"/>
    <w:basedOn w:val="783"/>
    <w:uiPriority w:val="99"/>
    <w:qFormat/>
    <w:pPr>
      <w:pBdr/>
      <w:spacing/>
      <w:ind w:firstLine="720"/>
      <w:jc w:val="both"/>
    </w:pPr>
    <w:rPr>
      <w:lang w:eastAsia="ru-RU"/>
    </w:rPr>
  </w:style>
  <w:style w:type="paragraph" w:styleId="868">
    <w:name w:val="ConsNormal"/>
    <w:uiPriority w:val="99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869">
    <w:name w:val="FR3"/>
    <w:uiPriority w:val="99"/>
    <w:qFormat/>
    <w:pPr>
      <w:widowControl w:val="false"/>
      <w:pBdr/>
      <w:spacing w:after="0" w:before="20"/>
      <w:ind w:firstLine="0" w:left="80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870">
    <w:name w:val="ConsPlusNormal"/>
    <w:uiPriority w:val="99"/>
    <w:qFormat/>
    <w:pPr>
      <w:widowControl w:val="true"/>
      <w:pBdr/>
      <w:spacing w:after="0" w:before="0"/>
      <w:ind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871">
    <w:name w:val="ConsPlusNonformat"/>
    <w:uiPriority w:val="99"/>
    <w:qFormat/>
    <w:pPr>
      <w:widowControl w:val="false"/>
      <w:pBdr/>
      <w:spacing w:after="0" w:before="0"/>
      <w:ind/>
      <w:jc w:val="left"/>
    </w:pPr>
    <w:rPr>
      <w:rFonts w:ascii="Courier New" w:hAnsi="Courier New" w:eastAsia="Tahoma" w:cs="Courier New"/>
      <w:color w:val="auto"/>
      <w:sz w:val="24"/>
      <w:szCs w:val="20"/>
      <w:lang w:val="ru-RU" w:eastAsia="ru-RU" w:bidi="ar-SA"/>
    </w:rPr>
  </w:style>
  <w:style w:type="paragraph" w:styleId="872">
    <w:name w:val="ConsPlusCell"/>
    <w:uiPriority w:val="99"/>
    <w:qFormat/>
    <w:pPr>
      <w:widowControl w:val="false"/>
      <w:pBdr/>
      <w:spacing w:after="0" w:before="0"/>
      <w:ind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873">
    <w:name w:val="Знак Знак Знак Знак Знак Знак Знак Знак Знак Знак"/>
    <w:basedOn w:val="783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sz w:val="20"/>
      <w:szCs w:val="20"/>
      <w:lang w:val="en-US"/>
    </w:rPr>
  </w:style>
  <w:style w:type="paragraph" w:styleId="874">
    <w:name w:val="Знак"/>
    <w:basedOn w:val="783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lang w:val="en-US"/>
    </w:rPr>
  </w:style>
  <w:style w:type="paragraph" w:styleId="875">
    <w:name w:val="Нормальный (таблица)"/>
    <w:basedOn w:val="783"/>
    <w:qFormat/>
    <w:pPr>
      <w:widowControl w:val="false"/>
      <w:pBdr/>
      <w:spacing/>
      <w:ind/>
      <w:jc w:val="both"/>
    </w:pPr>
    <w:rPr>
      <w:rFonts w:ascii="Arial" w:hAnsi="Arial" w:eastAsia="Calibri" w:cs="Arial"/>
      <w:lang w:eastAsia="ru-RU"/>
    </w:rPr>
  </w:style>
  <w:style w:type="paragraph" w:styleId="876">
    <w:name w:val="Прижатый влево"/>
    <w:basedOn w:val="783"/>
    <w:qFormat/>
    <w:pPr>
      <w:widowControl w:val="false"/>
      <w:pBdr/>
      <w:spacing/>
      <w:ind/>
      <w:jc w:val="left"/>
    </w:pPr>
    <w:rPr>
      <w:rFonts w:ascii="Arial" w:hAnsi="Arial" w:eastAsia="Calibri" w:cs="Arial"/>
      <w:lang w:eastAsia="ru-RU"/>
    </w:rPr>
  </w:style>
  <w:style w:type="paragraph" w:styleId="877">
    <w:name w:val="Обычный (веб)"/>
    <w:basedOn w:val="783"/>
    <w:qFormat/>
    <w:pPr>
      <w:pBdr/>
      <w:spacing w:after="30" w:before="30"/>
      <w:ind/>
      <w:jc w:val="left"/>
    </w:pPr>
    <w:rPr>
      <w:rFonts w:eastAsia="Calibri"/>
      <w:lang w:eastAsia="ru-RU"/>
    </w:rPr>
  </w:style>
  <w:style w:type="paragraph" w:styleId="878">
    <w:name w:val="Body Text Indent"/>
    <w:basedOn w:val="783"/>
    <w:pPr>
      <w:pBdr/>
      <w:spacing w:after="120" w:before="0"/>
      <w:ind w:firstLine="0" w:left="283"/>
    </w:pPr>
  </w:style>
  <w:style w:type="paragraph" w:styleId="879">
    <w:name w:val="Основной текст 3"/>
    <w:basedOn w:val="783"/>
    <w:qFormat/>
    <w:pPr>
      <w:pBdr/>
      <w:spacing w:after="120" w:before="0"/>
      <w:ind/>
      <w:jc w:val="left"/>
    </w:pPr>
    <w:rPr>
      <w:sz w:val="16"/>
      <w:szCs w:val="16"/>
      <w:lang w:eastAsia="ru-RU"/>
    </w:rPr>
  </w:style>
  <w:style w:type="paragraph" w:styleId="880">
    <w:name w:val="Con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Calibri" w:cs="Courier New"/>
      <w:color w:val="auto"/>
      <w:sz w:val="24"/>
      <w:szCs w:val="20"/>
      <w:lang w:val="ru-RU" w:eastAsia="ru-RU" w:bidi="ar-SA"/>
    </w:rPr>
  </w:style>
  <w:style w:type="paragraph" w:styleId="881">
    <w:name w:val="ConsPlusTitle"/>
    <w:qFormat/>
    <w:pPr>
      <w:widowControl w:val="false"/>
      <w:pBdr/>
      <w:spacing w:after="0" w:before="0"/>
      <w:ind/>
      <w:jc w:val="left"/>
    </w:pPr>
    <w:rPr>
      <w:rFonts w:ascii="Times New Roman" w:hAnsi="Times New Roman" w:eastAsia="Calibri" w:cs="Noto Sans Devanagari"/>
      <w:b/>
      <w:bCs/>
      <w:color w:val="auto"/>
      <w:sz w:val="24"/>
      <w:szCs w:val="24"/>
      <w:lang w:val="ru-RU" w:eastAsia="ru-RU" w:bidi="ar-SA"/>
    </w:rPr>
  </w:style>
  <w:style w:type="paragraph" w:styleId="882">
    <w:name w:val="List Paragraph"/>
    <w:basedOn w:val="783"/>
    <w:qFormat/>
    <w:pPr>
      <w:widowControl w:val="false"/>
      <w:pBdr/>
      <w:spacing/>
      <w:ind w:firstLine="0" w:left="720"/>
      <w:jc w:val="left"/>
    </w:pPr>
    <w:rPr>
      <w:rFonts w:ascii="Arial" w:hAnsi="Arial" w:eastAsia="Calibri" w:cs="Arial"/>
      <w:lang w:eastAsia="ru-RU"/>
    </w:rPr>
  </w:style>
  <w:style w:type="paragraph" w:styleId="883">
    <w:name w:val="Нумерация"/>
    <w:basedOn w:val="783"/>
    <w:qFormat/>
    <w:pPr>
      <w:pBdr/>
      <w:spacing/>
      <w:ind w:firstLine="709"/>
      <w:jc w:val="both"/>
    </w:pPr>
    <w:rPr>
      <w:rFonts w:eastAsia="Calibri"/>
      <w:lang w:eastAsia="ru-RU"/>
    </w:rPr>
  </w:style>
  <w:style w:type="paragraph" w:styleId="884">
    <w:name w:val="Таблицы (моноширинный)"/>
    <w:basedOn w:val="783"/>
    <w:qFormat/>
    <w:pPr>
      <w:widowControl w:val="false"/>
      <w:pBdr/>
      <w:spacing/>
      <w:ind/>
      <w:jc w:val="both"/>
    </w:pPr>
    <w:rPr>
      <w:rFonts w:ascii="Courier New" w:hAnsi="Courier New" w:eastAsia="Calibri" w:cs="Courier New"/>
      <w:lang w:eastAsia="ru-RU"/>
    </w:rPr>
  </w:style>
  <w:style w:type="paragraph" w:styleId="885">
    <w:name w:val="çàãîëîâîê 11"/>
    <w:basedOn w:val="783"/>
    <w:qFormat/>
    <w:pPr>
      <w:keepNext w:val="true"/>
      <w:pBdr/>
      <w:spacing/>
      <w:ind/>
    </w:pPr>
    <w:rPr>
      <w:rFonts w:eastAsia="Calibri"/>
      <w:lang w:eastAsia="ru-RU"/>
    </w:rPr>
  </w:style>
  <w:style w:type="paragraph" w:styleId="886">
    <w:name w:val="заголовок 1"/>
    <w:basedOn w:val="783"/>
    <w:qFormat/>
    <w:pPr>
      <w:keepNext w:val="true"/>
      <w:pBdr/>
      <w:spacing/>
      <w:ind w:firstLine="567"/>
      <w:jc w:val="both"/>
    </w:pPr>
    <w:rPr>
      <w:rFonts w:eastAsia="Calibri"/>
      <w:lang w:eastAsia="ru-RU"/>
    </w:rPr>
  </w:style>
  <w:style w:type="paragraph" w:styleId="887">
    <w:name w:val="Текст выноски"/>
    <w:basedOn w:val="783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numbering" w:styleId="888">
    <w:name w:val="Нет списка"/>
    <w:uiPriority w:val="99"/>
    <w:semiHidden/>
    <w:unhideWhenUsed/>
    <w:qFormat/>
    <w:pPr>
      <w:pBdr/>
      <w:spacing/>
      <w:ind/>
    </w:pPr>
  </w:style>
  <w:style w:type="numbering" w:styleId="889" w:default="1">
    <w:name w:val="No List"/>
    <w:uiPriority w:val="99"/>
    <w:semiHidden/>
    <w:unhideWhenUsed/>
    <w:qFormat/>
    <w:pPr>
      <w:pBdr/>
      <w:spacing/>
      <w:ind/>
    </w:pPr>
  </w:style>
  <w:style w:type="table" w:styleId="89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Administraciya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Администратор</dc:creator>
  <dc:description/>
  <dc:language>ru-RU</dc:language>
  <cp:revision>80</cp:revision>
  <dcterms:created xsi:type="dcterms:W3CDTF">2019-02-12T07:12:00Z</dcterms:created>
  <dcterms:modified xsi:type="dcterms:W3CDTF">2025-03-17T07:21:52Z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Administraciya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1048576</vt:lpwstr>
  </property>
</Properties>
</file>