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 апреля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городского округа город Шарья назначены публичные слушания по проекту решения Думы городского округа город Шарья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отчете администрации городского округа город Шарья об исполнении бюджета городского округа город Шарья за 2025 год».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публичных слушаний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10.00 часо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зал заседаний администрации городского округа город Шарья (г. Шарья, ул. Октябрьская, д. 21, 2-й этаж)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решения Думы городского округа город Шарья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отчете администрации городского округа город Шарья об исполнении бюджета городского округа город Шарья за 2025 год»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опубликован в газете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«Ведомости Шарьи»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(996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01.04.2026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проектом решения по обсуждаемому вопросу также можно ознакомиться или получить в электронном виде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финансовом управлении 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отделе общественной безопасности, внутренней политики и местного самоуправления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городского округа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Шарья, ул. Ленина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на официальном сайте администрации городского округа город Шарья </w:t>
      </w:r>
      <w:hyperlink r:id="rId9" w:tooltip="https://sharya.kostroma.gov.ru/munitsipalitet/duma/publichnye-slushaniya-i-vystupleniya.php" w:history="1"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https://sharya.k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stro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m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a.gov</w:t>
        </w:r>
        <w:r>
          <w:rPr>
            <w:rStyle w:val="88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.ru/munitsipalitet/duma/publichnye-slushaniya-i-vystupleniya.php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Контактные телефоны ответственных за подготовку и проведение публичных слушаний: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(49449) 58-925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финансовое управление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городского округа город Шарья;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(49449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58-918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 общественной безопасности, внутренней политики и местного самоуправления администрации городского округа город Шарья.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и замечания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заинтересованных лиц по обсуждаемому вопросу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 письменном виде с пометкой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отчете администрации городского округа город Шарья об исполнении бюджета городского округа город Шарья за 2025 год»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08.00 до 12.00 и с 13.00 до 17.00 в рабочие дни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апреля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апреля</w:t>
      </w:r>
      <w:r>
        <w:rPr>
          <w:rFonts w:ascii="Times New Roman" w:hAnsi="Times New Roman" w:cs="Times New Roman"/>
          <w:sz w:val="24"/>
          <w:szCs w:val="24"/>
        </w:rPr>
        <w:t xml:space="preserve"> 2026 года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Шарья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 xml:space="preserve">г. Шарья, ул. Ленина, д. 13, каб. 65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отделе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безопасности, внутренней политики и местного самоуправления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( г. Шарья, ул. Ленина д. 13, </w:t>
      </w:r>
      <w:r>
        <w:rPr>
          <w:rFonts w:ascii="Times New Roman" w:hAnsi="Times New Roman" w:cs="Times New Roman"/>
          <w:sz w:val="24"/>
          <w:szCs w:val="24"/>
        </w:rPr>
        <w:t xml:space="preserve">каб. № 47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 w:cs="Times New Roman"/>
          <w:sz w:val="24"/>
          <w:szCs w:val="24"/>
        </w:rPr>
        <w:t xml:space="preserve">gorod_sharya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kostroma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gov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форме электронного документа, представленного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фициального сайта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представители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,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депутаты Думы городского округа город Шарья, депутаты Костромской областной Думы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частники публичных слушаний допускаются в помещение, являющееся местом проведения публичных слушаний, только по предъявлении документов, удостоверяющих личность.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table" w:styleId="702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5"/>
    <w:next w:val="885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5"/>
    <w:next w:val="885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5"/>
    <w:next w:val="885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5"/>
    <w:next w:val="885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5"/>
    <w:next w:val="885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6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6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6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6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6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6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5"/>
    <w:next w:val="885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5"/>
    <w:next w:val="885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5"/>
    <w:next w:val="885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5"/>
    <w:next w:val="885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86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86"/>
    <w:link w:val="863"/>
    <w:uiPriority w:val="99"/>
    <w:pPr>
      <w:pBdr/>
      <w:spacing/>
      <w:ind/>
    </w:pPr>
  </w:style>
  <w:style w:type="paragraph" w:styleId="865">
    <w:name w:val="Footer"/>
    <w:basedOn w:val="885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86"/>
    <w:link w:val="865"/>
    <w:uiPriority w:val="99"/>
    <w:pPr>
      <w:pBdr/>
      <w:spacing/>
      <w:ind/>
    </w:pPr>
  </w:style>
  <w:style w:type="paragraph" w:styleId="867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5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86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86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character" w:styleId="889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0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1">
    <w:name w:val="Balloon Text"/>
    <w:basedOn w:val="885"/>
    <w:link w:val="89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basedOn w:val="886"/>
    <w:link w:val="89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sharya.kostroma.gov.ru/munitsipalitet/duma/publichnye-slushaniya-i-vystupleniya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250F-D10F-44F7-8D24-4CDE7C86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Lebedeva_OVMS</dc:creator>
  <cp:keywords/>
  <dc:description/>
  <cp:revision>15</cp:revision>
  <dcterms:created xsi:type="dcterms:W3CDTF">2023-03-28T11:06:00Z</dcterms:created>
  <dcterms:modified xsi:type="dcterms:W3CDTF">2026-03-31T07:07:06Z</dcterms:modified>
</cp:coreProperties>
</file>